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91D29" w14:textId="77777777" w:rsidR="00C55247" w:rsidRDefault="00C55247">
      <w:pPr>
        <w:adjustRightInd w:val="0"/>
        <w:snapToGrid w:val="0"/>
        <w:jc w:val="center"/>
        <w:rPr>
          <w:rFonts w:ascii="彩虹粗仿宋" w:eastAsia="彩虹粗仿宋" w:hAnsi="宋体" w:cs="Arial"/>
          <w:sz w:val="24"/>
        </w:rPr>
      </w:pPr>
    </w:p>
    <w:p w14:paraId="7AF0961E" w14:textId="77777777" w:rsidR="00C55247" w:rsidRDefault="00C55247">
      <w:pPr>
        <w:adjustRightInd w:val="0"/>
        <w:snapToGrid w:val="0"/>
        <w:jc w:val="center"/>
        <w:rPr>
          <w:rFonts w:ascii="彩虹粗仿宋" w:eastAsia="彩虹粗仿宋" w:hAnsi="宋体" w:cs="Arial"/>
          <w:sz w:val="24"/>
        </w:rPr>
      </w:pPr>
    </w:p>
    <w:p w14:paraId="7ABBF023" w14:textId="77777777" w:rsidR="00C55247" w:rsidRDefault="00C55247">
      <w:pPr>
        <w:adjustRightInd w:val="0"/>
        <w:snapToGrid w:val="0"/>
        <w:jc w:val="center"/>
        <w:rPr>
          <w:rFonts w:ascii="彩虹粗仿宋" w:eastAsia="彩虹粗仿宋" w:hAnsi="宋体" w:cs="Arial"/>
          <w:sz w:val="24"/>
        </w:rPr>
      </w:pPr>
    </w:p>
    <w:p w14:paraId="16F856A5" w14:textId="77777777" w:rsidR="00C55247" w:rsidRDefault="00C55247">
      <w:pPr>
        <w:adjustRightInd w:val="0"/>
        <w:snapToGrid w:val="0"/>
        <w:jc w:val="center"/>
        <w:rPr>
          <w:rFonts w:ascii="彩虹粗仿宋" w:eastAsia="彩虹粗仿宋" w:hAnsi="宋体" w:cs="Arial"/>
          <w:sz w:val="24"/>
        </w:rPr>
      </w:pPr>
    </w:p>
    <w:p w14:paraId="5020A905" w14:textId="77777777" w:rsidR="00C55247" w:rsidRDefault="00C55247">
      <w:pPr>
        <w:adjustRightInd w:val="0"/>
        <w:snapToGrid w:val="0"/>
        <w:jc w:val="center"/>
        <w:rPr>
          <w:rFonts w:ascii="彩虹粗仿宋" w:eastAsia="彩虹粗仿宋" w:hAnsi="宋体" w:cs="Arial"/>
          <w:sz w:val="24"/>
        </w:rPr>
      </w:pPr>
    </w:p>
    <w:p w14:paraId="1000FDAF" w14:textId="77777777" w:rsidR="00C55247" w:rsidRDefault="00C55247">
      <w:pPr>
        <w:adjustRightInd w:val="0"/>
        <w:snapToGrid w:val="0"/>
        <w:jc w:val="center"/>
        <w:rPr>
          <w:rFonts w:ascii="彩虹粗仿宋" w:eastAsia="彩虹粗仿宋" w:hAnsi="宋体" w:cs="Arial"/>
          <w:sz w:val="24"/>
        </w:rPr>
      </w:pPr>
    </w:p>
    <w:p w14:paraId="1110E663" w14:textId="77777777" w:rsidR="00C55247" w:rsidRDefault="00C55247">
      <w:pPr>
        <w:adjustRightInd w:val="0"/>
        <w:snapToGrid w:val="0"/>
        <w:jc w:val="center"/>
        <w:rPr>
          <w:rFonts w:ascii="彩虹粗仿宋" w:eastAsia="彩虹粗仿宋" w:hAnsi="宋体" w:cs="Arial"/>
          <w:sz w:val="24"/>
        </w:rPr>
      </w:pPr>
    </w:p>
    <w:p w14:paraId="50632633" w14:textId="77777777" w:rsidR="00C55247" w:rsidRDefault="00C55247">
      <w:pPr>
        <w:adjustRightInd w:val="0"/>
        <w:snapToGrid w:val="0"/>
        <w:jc w:val="center"/>
        <w:rPr>
          <w:rFonts w:ascii="彩虹粗仿宋" w:eastAsia="彩虹粗仿宋" w:hAnsi="宋体" w:cs="Arial"/>
          <w:sz w:val="24"/>
        </w:rPr>
      </w:pPr>
    </w:p>
    <w:p w14:paraId="06BD6240" w14:textId="77777777" w:rsidR="00C55247" w:rsidRDefault="00C55247">
      <w:pPr>
        <w:adjustRightInd w:val="0"/>
        <w:snapToGrid w:val="0"/>
        <w:jc w:val="center"/>
        <w:rPr>
          <w:rFonts w:ascii="彩虹粗仿宋" w:eastAsia="彩虹粗仿宋" w:hAnsi="宋体" w:cs="Arial"/>
          <w:sz w:val="24"/>
        </w:rPr>
      </w:pPr>
    </w:p>
    <w:p w14:paraId="2A6EDE0F" w14:textId="77777777" w:rsidR="00C55247" w:rsidRDefault="00C55247">
      <w:pPr>
        <w:adjustRightInd w:val="0"/>
        <w:snapToGrid w:val="0"/>
        <w:jc w:val="center"/>
        <w:rPr>
          <w:rFonts w:ascii="彩虹粗仿宋" w:eastAsia="彩虹粗仿宋" w:hAnsi="宋体" w:cs="Arial"/>
          <w:sz w:val="24"/>
        </w:rPr>
      </w:pPr>
    </w:p>
    <w:p w14:paraId="7A49B0C0" w14:textId="77777777" w:rsidR="00C55247" w:rsidRDefault="00C55247">
      <w:pPr>
        <w:adjustRightInd w:val="0"/>
        <w:snapToGrid w:val="0"/>
        <w:jc w:val="center"/>
        <w:rPr>
          <w:rFonts w:ascii="彩虹粗仿宋" w:eastAsia="彩虹粗仿宋" w:hAnsi="宋体" w:cs="Arial"/>
          <w:sz w:val="24"/>
        </w:rPr>
      </w:pPr>
    </w:p>
    <w:p w14:paraId="780EA4A4" w14:textId="1C722EF7" w:rsidR="00C55247" w:rsidRDefault="00A17ED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国泰上证科创板50成份交易型开放式指数证券投资基金发起式联接基金托管协议</w:t>
      </w:r>
    </w:p>
    <w:p w14:paraId="64CF212F" w14:textId="77777777" w:rsidR="00C55247" w:rsidRDefault="00C55247">
      <w:pPr>
        <w:adjustRightInd w:val="0"/>
        <w:snapToGrid w:val="0"/>
        <w:jc w:val="center"/>
        <w:outlineLvl w:val="0"/>
        <w:rPr>
          <w:rFonts w:ascii="彩虹粗仿宋" w:eastAsia="彩虹粗仿宋" w:hAnsi="宋体" w:cs="Arial"/>
          <w:sz w:val="24"/>
        </w:rPr>
      </w:pPr>
    </w:p>
    <w:p w14:paraId="793900C8" w14:textId="77777777" w:rsidR="00C55247" w:rsidRDefault="00C55247">
      <w:pPr>
        <w:adjustRightInd w:val="0"/>
        <w:snapToGrid w:val="0"/>
        <w:jc w:val="center"/>
        <w:outlineLvl w:val="0"/>
        <w:rPr>
          <w:rFonts w:ascii="彩虹粗仿宋" w:eastAsia="彩虹粗仿宋" w:hAnsi="宋体" w:cs="Arial"/>
          <w:sz w:val="24"/>
        </w:rPr>
      </w:pPr>
    </w:p>
    <w:p w14:paraId="1ADFEA66" w14:textId="77777777" w:rsidR="00C55247" w:rsidRDefault="00C55247">
      <w:pPr>
        <w:adjustRightInd w:val="0"/>
        <w:snapToGrid w:val="0"/>
        <w:jc w:val="center"/>
        <w:outlineLvl w:val="0"/>
        <w:rPr>
          <w:rFonts w:ascii="彩虹粗仿宋" w:eastAsia="彩虹粗仿宋" w:hAnsi="宋体" w:cs="Arial"/>
          <w:sz w:val="24"/>
        </w:rPr>
      </w:pPr>
    </w:p>
    <w:p w14:paraId="1B301AB5" w14:textId="77777777" w:rsidR="00C55247" w:rsidRDefault="00C55247">
      <w:pPr>
        <w:adjustRightInd w:val="0"/>
        <w:snapToGrid w:val="0"/>
        <w:jc w:val="center"/>
        <w:outlineLvl w:val="0"/>
        <w:rPr>
          <w:rFonts w:ascii="彩虹粗仿宋" w:eastAsia="彩虹粗仿宋" w:hAnsi="宋体" w:cs="Arial"/>
          <w:sz w:val="24"/>
        </w:rPr>
      </w:pPr>
    </w:p>
    <w:p w14:paraId="1F7D4874" w14:textId="77777777" w:rsidR="00C55247" w:rsidRDefault="00C55247">
      <w:pPr>
        <w:adjustRightInd w:val="0"/>
        <w:snapToGrid w:val="0"/>
        <w:jc w:val="center"/>
        <w:outlineLvl w:val="0"/>
        <w:rPr>
          <w:rFonts w:ascii="彩虹粗仿宋" w:eastAsia="彩虹粗仿宋" w:hAnsi="宋体" w:cs="Arial"/>
          <w:sz w:val="24"/>
        </w:rPr>
      </w:pPr>
    </w:p>
    <w:p w14:paraId="2451548C" w14:textId="77777777" w:rsidR="00C55247" w:rsidRDefault="00C55247">
      <w:pPr>
        <w:adjustRightInd w:val="0"/>
        <w:snapToGrid w:val="0"/>
        <w:jc w:val="center"/>
        <w:outlineLvl w:val="0"/>
        <w:rPr>
          <w:rFonts w:ascii="彩虹粗仿宋" w:eastAsia="彩虹粗仿宋" w:hAnsi="宋体" w:cs="Arial"/>
          <w:sz w:val="24"/>
        </w:rPr>
      </w:pPr>
    </w:p>
    <w:p w14:paraId="5F25407F" w14:textId="77777777" w:rsidR="00C55247" w:rsidRDefault="00C55247">
      <w:pPr>
        <w:adjustRightInd w:val="0"/>
        <w:snapToGrid w:val="0"/>
        <w:jc w:val="center"/>
        <w:outlineLvl w:val="0"/>
        <w:rPr>
          <w:rFonts w:ascii="彩虹粗仿宋" w:eastAsia="彩虹粗仿宋" w:hAnsi="宋体" w:cs="Arial"/>
          <w:sz w:val="24"/>
        </w:rPr>
      </w:pPr>
    </w:p>
    <w:p w14:paraId="33282679" w14:textId="77777777" w:rsidR="00C55247" w:rsidRDefault="00A17ED0">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基金管理人：国泰基金管理有限公司</w:t>
      </w:r>
    </w:p>
    <w:p w14:paraId="2658BDBC" w14:textId="77777777" w:rsidR="00C55247" w:rsidRDefault="00A17ED0">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基金托管人：中国建设银行股份有限公司</w:t>
      </w:r>
    </w:p>
    <w:p w14:paraId="35739D9B" w14:textId="77777777" w:rsidR="00C55247" w:rsidRDefault="00C55247">
      <w:pPr>
        <w:adjustRightInd w:val="0"/>
        <w:snapToGrid w:val="0"/>
        <w:jc w:val="center"/>
        <w:outlineLvl w:val="0"/>
        <w:rPr>
          <w:rFonts w:ascii="彩虹粗仿宋" w:eastAsia="彩虹粗仿宋" w:hAnsi="宋体" w:cs="Arial"/>
          <w:sz w:val="24"/>
        </w:rPr>
      </w:pPr>
    </w:p>
    <w:p w14:paraId="2F7201A6" w14:textId="77777777" w:rsidR="00C55247" w:rsidRDefault="00C55247">
      <w:pPr>
        <w:adjustRightInd w:val="0"/>
        <w:snapToGrid w:val="0"/>
        <w:jc w:val="center"/>
        <w:outlineLvl w:val="0"/>
        <w:rPr>
          <w:rFonts w:ascii="彩虹粗仿宋" w:eastAsia="彩虹粗仿宋" w:hAnsi="宋体" w:cs="Arial"/>
          <w:sz w:val="24"/>
        </w:rPr>
      </w:pPr>
    </w:p>
    <w:p w14:paraId="43B61BF0" w14:textId="77777777" w:rsidR="00C55247" w:rsidRDefault="00C55247">
      <w:pPr>
        <w:adjustRightInd w:val="0"/>
        <w:snapToGrid w:val="0"/>
        <w:jc w:val="center"/>
        <w:outlineLvl w:val="0"/>
        <w:rPr>
          <w:rFonts w:ascii="彩虹粗仿宋" w:eastAsia="彩虹粗仿宋" w:hAnsi="宋体" w:cs="Arial"/>
          <w:sz w:val="24"/>
        </w:rPr>
      </w:pPr>
    </w:p>
    <w:p w14:paraId="3C5AAFD6" w14:textId="77777777" w:rsidR="00C55247" w:rsidRDefault="00C55247">
      <w:pPr>
        <w:adjustRightInd w:val="0"/>
        <w:snapToGrid w:val="0"/>
        <w:jc w:val="center"/>
        <w:outlineLvl w:val="0"/>
        <w:rPr>
          <w:rFonts w:ascii="彩虹粗仿宋" w:eastAsia="彩虹粗仿宋" w:hAnsi="宋体" w:cs="Arial"/>
          <w:sz w:val="24"/>
        </w:rPr>
      </w:pPr>
    </w:p>
    <w:p w14:paraId="7E1882EC" w14:textId="638077B2" w:rsidR="00C55247" w:rsidRDefault="00A17ED0">
      <w:pPr>
        <w:adjustRightInd w:val="0"/>
        <w:snapToGrid w:val="0"/>
        <w:outlineLvl w:val="0"/>
        <w:rPr>
          <w:rFonts w:ascii="彩虹粗仿宋" w:eastAsia="彩虹粗仿宋" w:hAnsi="宋体" w:cs="Arial"/>
          <w:sz w:val="24"/>
        </w:rPr>
      </w:pPr>
      <w:r>
        <w:rPr>
          <w:rFonts w:ascii="彩虹粗仿宋" w:eastAsia="彩虹粗仿宋" w:hAnsi="宋体" w:cs="Arial" w:hint="eastAsia"/>
          <w:sz w:val="24"/>
        </w:rPr>
        <w:t xml:space="preserve">                            二零二六年</w:t>
      </w:r>
      <w:r w:rsidR="00E36A2B">
        <w:rPr>
          <w:rFonts w:ascii="彩虹粗仿宋" w:eastAsia="彩虹粗仿宋" w:hAnsi="宋体" w:cs="Arial" w:hint="eastAsia"/>
          <w:sz w:val="24"/>
        </w:rPr>
        <w:t>五</w:t>
      </w:r>
      <w:r>
        <w:rPr>
          <w:rFonts w:ascii="彩虹粗仿宋" w:eastAsia="彩虹粗仿宋" w:hAnsi="宋体" w:cs="Arial" w:hint="eastAsia"/>
          <w:sz w:val="24"/>
        </w:rPr>
        <w:t>月</w:t>
      </w:r>
    </w:p>
    <w:p w14:paraId="0D63A44E" w14:textId="77777777" w:rsidR="00C55247" w:rsidRDefault="00C55247">
      <w:pPr>
        <w:adjustRightInd w:val="0"/>
        <w:snapToGrid w:val="0"/>
        <w:jc w:val="center"/>
        <w:rPr>
          <w:rFonts w:ascii="彩虹粗仿宋" w:eastAsia="彩虹粗仿宋" w:hAnsi="宋体" w:cs="Arial"/>
          <w:bCs/>
          <w:sz w:val="24"/>
        </w:rPr>
        <w:sectPr w:rsidR="00C55247">
          <w:footerReference w:type="even" r:id="rId7"/>
          <w:pgSz w:w="11906" w:h="16838"/>
          <w:pgMar w:top="1418" w:right="1701" w:bottom="1418" w:left="1701" w:header="851" w:footer="992" w:gutter="0"/>
          <w:cols w:space="425"/>
          <w:docGrid w:type="lines" w:linePitch="312"/>
        </w:sectPr>
      </w:pPr>
    </w:p>
    <w:p w14:paraId="42A2EE85" w14:textId="77777777" w:rsidR="00C55247" w:rsidRDefault="00C55247">
      <w:pPr>
        <w:adjustRightInd w:val="0"/>
        <w:snapToGrid w:val="0"/>
        <w:rPr>
          <w:rFonts w:ascii="彩虹粗仿宋" w:eastAsia="彩虹粗仿宋" w:hAnsi="宋体" w:cs="Arial"/>
          <w:bCs/>
          <w:sz w:val="24"/>
        </w:rPr>
      </w:pPr>
    </w:p>
    <w:p w14:paraId="7FA54844" w14:textId="77777777" w:rsidR="00C55247" w:rsidRDefault="00A17ED0">
      <w:pPr>
        <w:jc w:val="center"/>
        <w:rPr>
          <w:rFonts w:ascii="彩虹粗仿宋" w:eastAsia="彩虹粗仿宋"/>
          <w:b/>
          <w:bCs/>
          <w:sz w:val="30"/>
        </w:rPr>
      </w:pPr>
      <w:r>
        <w:rPr>
          <w:rFonts w:ascii="彩虹粗仿宋" w:eastAsia="彩虹粗仿宋" w:hint="eastAsia"/>
          <w:b/>
          <w:bCs/>
          <w:sz w:val="30"/>
        </w:rPr>
        <w:t>目    录</w:t>
      </w:r>
    </w:p>
    <w:p w14:paraId="02D264C0" w14:textId="21AD8EFA" w:rsidR="00C55247" w:rsidRDefault="00A17ED0">
      <w:pPr>
        <w:pStyle w:val="22"/>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1"/>
            <w:rFonts w:ascii="彩虹粗仿宋" w:eastAsia="彩虹粗仿宋" w:hAnsi="宋体" w:hint="eastAsia"/>
            <w:noProof/>
            <w:color w:val="auto"/>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BB10F8">
          <w:rPr>
            <w:rFonts w:ascii="彩虹粗仿宋" w:eastAsia="彩虹粗仿宋" w:hAnsi="宋体"/>
            <w:noProof/>
            <w:sz w:val="28"/>
          </w:rPr>
          <w:t>2</w:t>
        </w:r>
        <w:r>
          <w:rPr>
            <w:rFonts w:ascii="彩虹粗仿宋" w:eastAsia="彩虹粗仿宋" w:hAnsi="宋体" w:hint="eastAsia"/>
            <w:noProof/>
            <w:sz w:val="28"/>
          </w:rPr>
          <w:fldChar w:fldCharType="end"/>
        </w:r>
      </w:hyperlink>
    </w:p>
    <w:p w14:paraId="5C6FB998" w14:textId="32574067" w:rsidR="00C55247" w:rsidRDefault="00294FEB">
      <w:pPr>
        <w:pStyle w:val="22"/>
        <w:tabs>
          <w:tab w:val="right" w:leader="dot" w:pos="8494"/>
        </w:tabs>
        <w:rPr>
          <w:rFonts w:ascii="彩虹粗仿宋" w:eastAsia="彩虹粗仿宋" w:hAnsi="宋体"/>
          <w:noProof/>
          <w:sz w:val="28"/>
        </w:rPr>
      </w:pPr>
      <w:hyperlink w:anchor="_Toc124325886" w:history="1">
        <w:r w:rsidR="00A17ED0">
          <w:rPr>
            <w:rStyle w:val="af1"/>
            <w:rFonts w:ascii="彩虹粗仿宋" w:eastAsia="彩虹粗仿宋" w:hAnsi="宋体" w:hint="eastAsia"/>
            <w:noProof/>
            <w:color w:val="auto"/>
            <w:sz w:val="28"/>
            <w:szCs w:val="32"/>
          </w:rPr>
          <w:t>二、基金托管协议的依据、目的和原则</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_Toc124325886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3</w:t>
        </w:r>
        <w:r w:rsidR="00A17ED0">
          <w:rPr>
            <w:rFonts w:ascii="彩虹粗仿宋" w:eastAsia="彩虹粗仿宋" w:hAnsi="宋体" w:hint="eastAsia"/>
            <w:noProof/>
            <w:sz w:val="28"/>
          </w:rPr>
          <w:fldChar w:fldCharType="end"/>
        </w:r>
      </w:hyperlink>
    </w:p>
    <w:p w14:paraId="452FDDA1" w14:textId="148F0BC0" w:rsidR="00C55247" w:rsidRDefault="00294FEB">
      <w:pPr>
        <w:pStyle w:val="22"/>
        <w:tabs>
          <w:tab w:val="right" w:leader="dot" w:pos="8494"/>
        </w:tabs>
        <w:rPr>
          <w:rFonts w:ascii="彩虹粗仿宋" w:eastAsia="彩虹粗仿宋" w:hAnsi="宋体"/>
          <w:noProof/>
          <w:sz w:val="28"/>
        </w:rPr>
      </w:pPr>
      <w:hyperlink w:anchor="_Toc124325887" w:history="1">
        <w:r w:rsidR="00A17ED0">
          <w:rPr>
            <w:rStyle w:val="af1"/>
            <w:rFonts w:ascii="彩虹粗仿宋" w:eastAsia="彩虹粗仿宋" w:hAnsi="宋体" w:hint="eastAsia"/>
            <w:noProof/>
            <w:color w:val="auto"/>
            <w:sz w:val="28"/>
            <w:szCs w:val="32"/>
          </w:rPr>
          <w:t>三、基金托管人对基金管理人的业务监督和核查</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_Toc124325887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4</w:t>
        </w:r>
        <w:r w:rsidR="00A17ED0">
          <w:rPr>
            <w:rFonts w:ascii="彩虹粗仿宋" w:eastAsia="彩虹粗仿宋" w:hAnsi="宋体" w:hint="eastAsia"/>
            <w:noProof/>
            <w:sz w:val="28"/>
          </w:rPr>
          <w:fldChar w:fldCharType="end"/>
        </w:r>
      </w:hyperlink>
    </w:p>
    <w:p w14:paraId="58563910" w14:textId="1FD7FFB1" w:rsidR="00C55247" w:rsidRDefault="00294FEB">
      <w:pPr>
        <w:pStyle w:val="22"/>
        <w:tabs>
          <w:tab w:val="right" w:leader="dot" w:pos="8494"/>
        </w:tabs>
        <w:rPr>
          <w:rFonts w:ascii="彩虹粗仿宋" w:eastAsia="彩虹粗仿宋" w:hAnsi="宋体"/>
          <w:noProof/>
          <w:sz w:val="28"/>
        </w:rPr>
      </w:pPr>
      <w:hyperlink w:anchor="_Toc124325888" w:history="1">
        <w:r w:rsidR="00A17ED0">
          <w:rPr>
            <w:rStyle w:val="af1"/>
            <w:rFonts w:ascii="彩虹粗仿宋" w:eastAsia="彩虹粗仿宋" w:hAnsi="宋体" w:hint="eastAsia"/>
            <w:noProof/>
            <w:color w:val="auto"/>
            <w:sz w:val="28"/>
            <w:szCs w:val="32"/>
          </w:rPr>
          <w:t>四、基金管理人对基金托管人的业务核查</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_Toc124325888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8</w:t>
        </w:r>
        <w:r w:rsidR="00A17ED0">
          <w:rPr>
            <w:rFonts w:ascii="彩虹粗仿宋" w:eastAsia="彩虹粗仿宋" w:hAnsi="宋体" w:hint="eastAsia"/>
            <w:noProof/>
            <w:sz w:val="28"/>
          </w:rPr>
          <w:fldChar w:fldCharType="end"/>
        </w:r>
      </w:hyperlink>
    </w:p>
    <w:p w14:paraId="7ED7F0E7" w14:textId="015B4B6A" w:rsidR="00C55247" w:rsidRDefault="00294FEB">
      <w:pPr>
        <w:pStyle w:val="22"/>
        <w:tabs>
          <w:tab w:val="right" w:leader="dot" w:pos="8494"/>
        </w:tabs>
        <w:rPr>
          <w:rFonts w:ascii="彩虹粗仿宋" w:eastAsia="彩虹粗仿宋" w:hAnsi="宋体"/>
          <w:noProof/>
          <w:sz w:val="28"/>
        </w:rPr>
      </w:pPr>
      <w:hyperlink w:anchor="_Toc124325889" w:history="1">
        <w:r w:rsidR="00A17ED0">
          <w:rPr>
            <w:rStyle w:val="af1"/>
            <w:rFonts w:ascii="彩虹粗仿宋" w:eastAsia="彩虹粗仿宋" w:hAnsi="宋体" w:hint="eastAsia"/>
            <w:noProof/>
            <w:color w:val="auto"/>
            <w:sz w:val="28"/>
            <w:szCs w:val="32"/>
          </w:rPr>
          <w:t>五、基金财产的保管</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_Toc124325889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9</w:t>
        </w:r>
        <w:r w:rsidR="00A17ED0">
          <w:rPr>
            <w:rFonts w:ascii="彩虹粗仿宋" w:eastAsia="彩虹粗仿宋" w:hAnsi="宋体" w:hint="eastAsia"/>
            <w:noProof/>
            <w:sz w:val="28"/>
          </w:rPr>
          <w:fldChar w:fldCharType="end"/>
        </w:r>
      </w:hyperlink>
    </w:p>
    <w:p w14:paraId="3D41C2CE" w14:textId="1BEB9998" w:rsidR="00C55247" w:rsidRDefault="00294FEB">
      <w:pPr>
        <w:pStyle w:val="22"/>
        <w:tabs>
          <w:tab w:val="right" w:leader="dot" w:pos="8494"/>
        </w:tabs>
        <w:rPr>
          <w:rFonts w:ascii="彩虹粗仿宋" w:eastAsia="彩虹粗仿宋" w:hAnsi="宋体"/>
          <w:noProof/>
          <w:sz w:val="28"/>
        </w:rPr>
      </w:pPr>
      <w:hyperlink w:anchor="_Toc124325890" w:history="1">
        <w:r w:rsidR="00A17ED0">
          <w:rPr>
            <w:rStyle w:val="af1"/>
            <w:rFonts w:ascii="彩虹粗仿宋" w:eastAsia="彩虹粗仿宋" w:hAnsi="宋体" w:hint="eastAsia"/>
            <w:noProof/>
            <w:color w:val="auto"/>
            <w:sz w:val="28"/>
            <w:szCs w:val="32"/>
          </w:rPr>
          <w:t>六、指令的发送、确认及执行</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_Toc124325890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11</w:t>
        </w:r>
        <w:r w:rsidR="00A17ED0">
          <w:rPr>
            <w:rFonts w:ascii="彩虹粗仿宋" w:eastAsia="彩虹粗仿宋" w:hAnsi="宋体" w:hint="eastAsia"/>
            <w:noProof/>
            <w:sz w:val="28"/>
          </w:rPr>
          <w:fldChar w:fldCharType="end"/>
        </w:r>
      </w:hyperlink>
    </w:p>
    <w:p w14:paraId="1EDB4077" w14:textId="06C97AFA" w:rsidR="00C55247" w:rsidRDefault="00294FEB">
      <w:pPr>
        <w:pStyle w:val="22"/>
        <w:tabs>
          <w:tab w:val="right" w:leader="dot" w:pos="8494"/>
        </w:tabs>
        <w:rPr>
          <w:rFonts w:ascii="彩虹粗仿宋" w:eastAsia="彩虹粗仿宋" w:hAnsi="宋体"/>
          <w:noProof/>
          <w:sz w:val="28"/>
        </w:rPr>
      </w:pPr>
      <w:hyperlink w:anchor="_Toc124325891" w:history="1">
        <w:r w:rsidR="00A17ED0">
          <w:rPr>
            <w:rStyle w:val="af1"/>
            <w:rFonts w:ascii="彩虹粗仿宋" w:eastAsia="彩虹粗仿宋" w:hAnsi="宋体" w:hint="eastAsia"/>
            <w:noProof/>
            <w:color w:val="auto"/>
            <w:sz w:val="28"/>
            <w:szCs w:val="32"/>
          </w:rPr>
          <w:t>七、交易及清算交收安排</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_Toc124325891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13</w:t>
        </w:r>
        <w:r w:rsidR="00A17ED0">
          <w:rPr>
            <w:rFonts w:ascii="彩虹粗仿宋" w:eastAsia="彩虹粗仿宋" w:hAnsi="宋体" w:hint="eastAsia"/>
            <w:noProof/>
            <w:sz w:val="28"/>
          </w:rPr>
          <w:fldChar w:fldCharType="end"/>
        </w:r>
      </w:hyperlink>
    </w:p>
    <w:p w14:paraId="5C44D0B9" w14:textId="7ACC6A92" w:rsidR="00C55247" w:rsidRDefault="00294FEB">
      <w:pPr>
        <w:pStyle w:val="22"/>
        <w:tabs>
          <w:tab w:val="right" w:leader="dot" w:pos="8494"/>
        </w:tabs>
        <w:rPr>
          <w:rFonts w:ascii="彩虹粗仿宋" w:eastAsia="彩虹粗仿宋" w:hAnsi="宋体"/>
          <w:noProof/>
          <w:sz w:val="28"/>
        </w:rPr>
      </w:pPr>
      <w:hyperlink w:anchor="_Toc124325892" w:history="1">
        <w:r w:rsidR="00A17ED0">
          <w:rPr>
            <w:rStyle w:val="af1"/>
            <w:rFonts w:ascii="彩虹粗仿宋" w:eastAsia="彩虹粗仿宋" w:hAnsi="宋体" w:hint="eastAsia"/>
            <w:noProof/>
            <w:color w:val="auto"/>
            <w:sz w:val="28"/>
            <w:szCs w:val="32"/>
          </w:rPr>
          <w:t>八、基金资产净值计算和会计核算</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_Toc124325892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17</w:t>
        </w:r>
        <w:r w:rsidR="00A17ED0">
          <w:rPr>
            <w:rFonts w:ascii="彩虹粗仿宋" w:eastAsia="彩虹粗仿宋" w:hAnsi="宋体" w:hint="eastAsia"/>
            <w:noProof/>
            <w:sz w:val="28"/>
          </w:rPr>
          <w:fldChar w:fldCharType="end"/>
        </w:r>
      </w:hyperlink>
    </w:p>
    <w:p w14:paraId="57082B96" w14:textId="094EDA46" w:rsidR="00C55247" w:rsidRDefault="00294FEB">
      <w:pPr>
        <w:pStyle w:val="22"/>
        <w:tabs>
          <w:tab w:val="right" w:leader="dot" w:pos="8494"/>
        </w:tabs>
        <w:rPr>
          <w:rFonts w:ascii="彩虹粗仿宋" w:eastAsia="彩虹粗仿宋" w:hAnsi="宋体"/>
          <w:noProof/>
          <w:sz w:val="28"/>
        </w:rPr>
      </w:pPr>
      <w:hyperlink w:anchor="_Toc124325893" w:history="1">
        <w:r w:rsidR="00A17ED0">
          <w:rPr>
            <w:rStyle w:val="af1"/>
            <w:rFonts w:ascii="彩虹粗仿宋" w:eastAsia="彩虹粗仿宋" w:hAnsi="宋体" w:hint="eastAsia"/>
            <w:noProof/>
            <w:color w:val="auto"/>
            <w:sz w:val="28"/>
            <w:szCs w:val="32"/>
          </w:rPr>
          <w:t>九、基金收益分配</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_Toc124325893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21</w:t>
        </w:r>
        <w:r w:rsidR="00A17ED0">
          <w:rPr>
            <w:rFonts w:ascii="彩虹粗仿宋" w:eastAsia="彩虹粗仿宋" w:hAnsi="宋体" w:hint="eastAsia"/>
            <w:noProof/>
            <w:sz w:val="28"/>
          </w:rPr>
          <w:fldChar w:fldCharType="end"/>
        </w:r>
      </w:hyperlink>
    </w:p>
    <w:p w14:paraId="6F7D0649" w14:textId="4B4183F2" w:rsidR="00C55247" w:rsidRDefault="00294FEB">
      <w:pPr>
        <w:pStyle w:val="22"/>
        <w:tabs>
          <w:tab w:val="right" w:leader="dot" w:pos="8494"/>
        </w:tabs>
        <w:rPr>
          <w:rFonts w:ascii="彩虹粗仿宋" w:eastAsia="彩虹粗仿宋" w:hAnsi="宋体"/>
          <w:noProof/>
          <w:sz w:val="28"/>
        </w:rPr>
      </w:pPr>
      <w:hyperlink w:anchor="_Toc124325894" w:history="1">
        <w:r w:rsidR="00A17ED0">
          <w:rPr>
            <w:rStyle w:val="af1"/>
            <w:rFonts w:ascii="彩虹粗仿宋" w:eastAsia="彩虹粗仿宋" w:hAnsi="宋体" w:hint="eastAsia"/>
            <w:noProof/>
            <w:color w:val="auto"/>
            <w:sz w:val="28"/>
            <w:szCs w:val="32"/>
          </w:rPr>
          <w:t>十、基金信息披露</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_Toc124325894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21</w:t>
        </w:r>
        <w:r w:rsidR="00A17ED0">
          <w:rPr>
            <w:rFonts w:ascii="彩虹粗仿宋" w:eastAsia="彩虹粗仿宋" w:hAnsi="宋体" w:hint="eastAsia"/>
            <w:noProof/>
            <w:sz w:val="28"/>
          </w:rPr>
          <w:fldChar w:fldCharType="end"/>
        </w:r>
      </w:hyperlink>
    </w:p>
    <w:p w14:paraId="2A6714D5" w14:textId="15836AE7" w:rsidR="00C55247" w:rsidRDefault="00294FEB">
      <w:pPr>
        <w:pStyle w:val="22"/>
        <w:tabs>
          <w:tab w:val="right" w:leader="dot" w:pos="8494"/>
        </w:tabs>
        <w:rPr>
          <w:rFonts w:ascii="彩虹粗仿宋" w:eastAsia="彩虹粗仿宋" w:hAnsi="宋体"/>
          <w:noProof/>
          <w:sz w:val="28"/>
        </w:rPr>
      </w:pPr>
      <w:hyperlink w:anchor="_Toc124325895" w:history="1">
        <w:r w:rsidR="00A17ED0">
          <w:rPr>
            <w:rStyle w:val="af1"/>
            <w:rFonts w:ascii="彩虹粗仿宋" w:eastAsia="彩虹粗仿宋" w:hAnsi="宋体" w:hint="eastAsia"/>
            <w:noProof/>
            <w:color w:val="auto"/>
            <w:sz w:val="28"/>
            <w:szCs w:val="32"/>
          </w:rPr>
          <w:t>十一、基金费用</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_Toc124325895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23</w:t>
        </w:r>
        <w:r w:rsidR="00A17ED0">
          <w:rPr>
            <w:rFonts w:ascii="彩虹粗仿宋" w:eastAsia="彩虹粗仿宋" w:hAnsi="宋体" w:hint="eastAsia"/>
            <w:noProof/>
            <w:sz w:val="28"/>
          </w:rPr>
          <w:fldChar w:fldCharType="end"/>
        </w:r>
      </w:hyperlink>
    </w:p>
    <w:p w14:paraId="4F970206" w14:textId="2D037EB4" w:rsidR="00C55247" w:rsidRDefault="00294FEB">
      <w:pPr>
        <w:pStyle w:val="22"/>
        <w:tabs>
          <w:tab w:val="right" w:leader="dot" w:pos="8494"/>
        </w:tabs>
        <w:rPr>
          <w:rFonts w:ascii="彩虹粗仿宋" w:eastAsia="彩虹粗仿宋" w:hAnsi="宋体"/>
          <w:noProof/>
          <w:sz w:val="28"/>
        </w:rPr>
      </w:pPr>
      <w:hyperlink w:anchor="_Toc124325896" w:history="1">
        <w:r w:rsidR="00A17ED0">
          <w:rPr>
            <w:rStyle w:val="af1"/>
            <w:rFonts w:ascii="彩虹粗仿宋" w:eastAsia="彩虹粗仿宋" w:hAnsi="宋体" w:hint="eastAsia"/>
            <w:noProof/>
            <w:color w:val="auto"/>
            <w:sz w:val="28"/>
            <w:szCs w:val="32"/>
          </w:rPr>
          <w:t>十二、基金份额持有人名册的保管</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_Toc124325896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25</w:t>
        </w:r>
        <w:r w:rsidR="00A17ED0">
          <w:rPr>
            <w:rFonts w:ascii="彩虹粗仿宋" w:eastAsia="彩虹粗仿宋" w:hAnsi="宋体" w:hint="eastAsia"/>
            <w:noProof/>
            <w:sz w:val="28"/>
          </w:rPr>
          <w:fldChar w:fldCharType="end"/>
        </w:r>
      </w:hyperlink>
    </w:p>
    <w:p w14:paraId="6F35876E" w14:textId="1EBDEDFB" w:rsidR="00C55247" w:rsidRDefault="00294FEB">
      <w:pPr>
        <w:pStyle w:val="22"/>
        <w:tabs>
          <w:tab w:val="right" w:leader="dot" w:pos="8494"/>
        </w:tabs>
        <w:rPr>
          <w:rFonts w:ascii="彩虹粗仿宋" w:eastAsia="彩虹粗仿宋" w:hAnsi="宋体"/>
          <w:noProof/>
          <w:sz w:val="28"/>
        </w:rPr>
      </w:pPr>
      <w:hyperlink w:anchor="_Toc124325897" w:history="1">
        <w:r w:rsidR="00A17ED0">
          <w:rPr>
            <w:rStyle w:val="af1"/>
            <w:rFonts w:ascii="彩虹粗仿宋" w:eastAsia="彩虹粗仿宋" w:hAnsi="宋体" w:hint="eastAsia"/>
            <w:noProof/>
            <w:color w:val="auto"/>
            <w:sz w:val="28"/>
            <w:szCs w:val="32"/>
          </w:rPr>
          <w:t>十三、基金有关文件档案的保存</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_Toc124325897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25</w:t>
        </w:r>
        <w:r w:rsidR="00A17ED0">
          <w:rPr>
            <w:rFonts w:ascii="彩虹粗仿宋" w:eastAsia="彩虹粗仿宋" w:hAnsi="宋体" w:hint="eastAsia"/>
            <w:noProof/>
            <w:sz w:val="28"/>
          </w:rPr>
          <w:fldChar w:fldCharType="end"/>
        </w:r>
      </w:hyperlink>
    </w:p>
    <w:p w14:paraId="73996C56" w14:textId="59ACB3D1" w:rsidR="00C55247" w:rsidRDefault="00294FEB">
      <w:pPr>
        <w:pStyle w:val="22"/>
        <w:tabs>
          <w:tab w:val="right" w:leader="dot" w:pos="8494"/>
        </w:tabs>
        <w:rPr>
          <w:rFonts w:ascii="彩虹粗仿宋" w:eastAsia="彩虹粗仿宋" w:hAnsi="宋体"/>
          <w:noProof/>
          <w:sz w:val="28"/>
        </w:rPr>
      </w:pPr>
      <w:hyperlink w:anchor="_Toc124325898" w:history="1">
        <w:r w:rsidR="00A17ED0">
          <w:rPr>
            <w:rStyle w:val="af1"/>
            <w:rFonts w:ascii="彩虹粗仿宋" w:eastAsia="彩虹粗仿宋" w:hAnsi="宋体" w:hint="eastAsia"/>
            <w:noProof/>
            <w:color w:val="auto"/>
            <w:sz w:val="28"/>
            <w:szCs w:val="32"/>
          </w:rPr>
          <w:t>十四、基金管理人和基金托管人的更换</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_Toc124325898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25</w:t>
        </w:r>
        <w:r w:rsidR="00A17ED0">
          <w:rPr>
            <w:rFonts w:ascii="彩虹粗仿宋" w:eastAsia="彩虹粗仿宋" w:hAnsi="宋体" w:hint="eastAsia"/>
            <w:noProof/>
            <w:sz w:val="28"/>
          </w:rPr>
          <w:fldChar w:fldCharType="end"/>
        </w:r>
      </w:hyperlink>
    </w:p>
    <w:p w14:paraId="5FDE164D" w14:textId="488FCC6A" w:rsidR="00C55247" w:rsidRDefault="00294FEB">
      <w:pPr>
        <w:pStyle w:val="22"/>
        <w:tabs>
          <w:tab w:val="right" w:leader="dot" w:pos="8494"/>
        </w:tabs>
        <w:rPr>
          <w:rFonts w:ascii="彩虹粗仿宋" w:eastAsia="彩虹粗仿宋" w:hAnsi="宋体"/>
          <w:noProof/>
          <w:sz w:val="28"/>
        </w:rPr>
      </w:pPr>
      <w:hyperlink w:anchor="_Toc124325899" w:history="1">
        <w:r w:rsidR="00A17ED0">
          <w:rPr>
            <w:rStyle w:val="af1"/>
            <w:rFonts w:ascii="彩虹粗仿宋" w:eastAsia="彩虹粗仿宋" w:hAnsi="宋体" w:hint="eastAsia"/>
            <w:noProof/>
            <w:color w:val="auto"/>
            <w:sz w:val="28"/>
            <w:szCs w:val="32"/>
          </w:rPr>
          <w:t>十五、禁止行为</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_Toc124325899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27</w:t>
        </w:r>
        <w:r w:rsidR="00A17ED0">
          <w:rPr>
            <w:rFonts w:ascii="彩虹粗仿宋" w:eastAsia="彩虹粗仿宋" w:hAnsi="宋体" w:hint="eastAsia"/>
            <w:noProof/>
            <w:sz w:val="28"/>
          </w:rPr>
          <w:fldChar w:fldCharType="end"/>
        </w:r>
      </w:hyperlink>
    </w:p>
    <w:p w14:paraId="660A79F0" w14:textId="34E6AD20" w:rsidR="00C55247" w:rsidRDefault="00294FEB">
      <w:pPr>
        <w:pStyle w:val="22"/>
        <w:tabs>
          <w:tab w:val="right" w:leader="dot" w:pos="8494"/>
        </w:tabs>
        <w:rPr>
          <w:rFonts w:ascii="彩虹粗仿宋" w:eastAsia="彩虹粗仿宋" w:hAnsi="宋体"/>
          <w:noProof/>
          <w:sz w:val="28"/>
        </w:rPr>
      </w:pPr>
      <w:hyperlink w:anchor="_Toc124325900" w:history="1">
        <w:r w:rsidR="00A17ED0">
          <w:rPr>
            <w:rStyle w:val="af1"/>
            <w:rFonts w:ascii="彩虹粗仿宋" w:eastAsia="彩虹粗仿宋" w:hAnsi="宋体" w:hint="eastAsia"/>
            <w:noProof/>
            <w:color w:val="auto"/>
            <w:sz w:val="28"/>
            <w:szCs w:val="32"/>
          </w:rPr>
          <w:t>十六、托管协议的变更、终止与基金财产的清算</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_Toc124325900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28</w:t>
        </w:r>
        <w:r w:rsidR="00A17ED0">
          <w:rPr>
            <w:rFonts w:ascii="彩虹粗仿宋" w:eastAsia="彩虹粗仿宋" w:hAnsi="宋体" w:hint="eastAsia"/>
            <w:noProof/>
            <w:sz w:val="28"/>
          </w:rPr>
          <w:fldChar w:fldCharType="end"/>
        </w:r>
      </w:hyperlink>
    </w:p>
    <w:p w14:paraId="3AF4D098" w14:textId="67141E6C" w:rsidR="00C55247" w:rsidRDefault="00294FEB">
      <w:pPr>
        <w:pStyle w:val="22"/>
        <w:tabs>
          <w:tab w:val="right" w:leader="dot" w:pos="8494"/>
        </w:tabs>
        <w:rPr>
          <w:rFonts w:ascii="彩虹粗仿宋" w:eastAsia="彩虹粗仿宋" w:hAnsi="宋体"/>
          <w:noProof/>
          <w:sz w:val="28"/>
        </w:rPr>
      </w:pPr>
      <w:hyperlink w:anchor="_Toc124325901" w:history="1">
        <w:r w:rsidR="00A17ED0">
          <w:rPr>
            <w:rStyle w:val="af1"/>
            <w:rFonts w:ascii="彩虹粗仿宋" w:eastAsia="彩虹粗仿宋" w:hAnsi="宋体" w:hint="eastAsia"/>
            <w:noProof/>
            <w:color w:val="auto"/>
            <w:sz w:val="28"/>
            <w:szCs w:val="32"/>
          </w:rPr>
          <w:t>十七、违约责任</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_Toc124325901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29</w:t>
        </w:r>
        <w:r w:rsidR="00A17ED0">
          <w:rPr>
            <w:rFonts w:ascii="彩虹粗仿宋" w:eastAsia="彩虹粗仿宋" w:hAnsi="宋体" w:hint="eastAsia"/>
            <w:noProof/>
            <w:sz w:val="28"/>
          </w:rPr>
          <w:fldChar w:fldCharType="end"/>
        </w:r>
      </w:hyperlink>
    </w:p>
    <w:p w14:paraId="5CF319FA" w14:textId="53640644" w:rsidR="00C55247" w:rsidRDefault="00294FEB">
      <w:pPr>
        <w:pStyle w:val="22"/>
        <w:tabs>
          <w:tab w:val="right" w:leader="dot" w:pos="8494"/>
        </w:tabs>
        <w:rPr>
          <w:rFonts w:ascii="彩虹粗仿宋" w:eastAsia="彩虹粗仿宋" w:hAnsi="宋体"/>
          <w:noProof/>
          <w:sz w:val="28"/>
        </w:rPr>
      </w:pPr>
      <w:hyperlink w:anchor="_Toc124325902" w:history="1">
        <w:r w:rsidR="00A17ED0">
          <w:rPr>
            <w:rStyle w:val="af1"/>
            <w:rFonts w:ascii="彩虹粗仿宋" w:eastAsia="彩虹粗仿宋" w:hAnsi="宋体" w:hint="eastAsia"/>
            <w:noProof/>
            <w:color w:val="auto"/>
            <w:sz w:val="28"/>
            <w:szCs w:val="32"/>
          </w:rPr>
          <w:t>十八、争议解决方式</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_Toc124325902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29</w:t>
        </w:r>
        <w:r w:rsidR="00A17ED0">
          <w:rPr>
            <w:rFonts w:ascii="彩虹粗仿宋" w:eastAsia="彩虹粗仿宋" w:hAnsi="宋体" w:hint="eastAsia"/>
            <w:noProof/>
            <w:sz w:val="28"/>
          </w:rPr>
          <w:fldChar w:fldCharType="end"/>
        </w:r>
      </w:hyperlink>
    </w:p>
    <w:p w14:paraId="753885F3" w14:textId="5E27C433" w:rsidR="00C55247" w:rsidRDefault="00294FEB">
      <w:pPr>
        <w:pStyle w:val="22"/>
        <w:tabs>
          <w:tab w:val="right" w:leader="dot" w:pos="8494"/>
        </w:tabs>
        <w:rPr>
          <w:rFonts w:ascii="彩虹粗仿宋" w:eastAsia="彩虹粗仿宋" w:hAnsi="宋体"/>
          <w:noProof/>
          <w:sz w:val="28"/>
        </w:rPr>
      </w:pPr>
      <w:hyperlink w:anchor="_Toc124325903" w:history="1">
        <w:r w:rsidR="00A17ED0">
          <w:rPr>
            <w:rStyle w:val="af1"/>
            <w:rFonts w:ascii="彩虹粗仿宋" w:eastAsia="彩虹粗仿宋" w:hAnsi="宋体" w:hint="eastAsia"/>
            <w:noProof/>
            <w:color w:val="auto"/>
            <w:sz w:val="28"/>
            <w:szCs w:val="32"/>
          </w:rPr>
          <w:t>十九、托管协议的效力</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_Toc124325903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30</w:t>
        </w:r>
        <w:r w:rsidR="00A17ED0">
          <w:rPr>
            <w:rFonts w:ascii="彩虹粗仿宋" w:eastAsia="彩虹粗仿宋" w:hAnsi="宋体" w:hint="eastAsia"/>
            <w:noProof/>
            <w:sz w:val="28"/>
          </w:rPr>
          <w:fldChar w:fldCharType="end"/>
        </w:r>
      </w:hyperlink>
    </w:p>
    <w:p w14:paraId="1477BE54" w14:textId="4C20E192" w:rsidR="00C55247" w:rsidRDefault="00294FEB">
      <w:pPr>
        <w:pStyle w:val="22"/>
        <w:tabs>
          <w:tab w:val="right" w:leader="dot" w:pos="8494"/>
        </w:tabs>
        <w:rPr>
          <w:rFonts w:ascii="彩虹粗仿宋" w:eastAsia="彩虹粗仿宋" w:hAnsi="宋体"/>
          <w:noProof/>
          <w:sz w:val="28"/>
        </w:rPr>
      </w:pPr>
      <w:hyperlink w:anchor="_Toc124325904" w:history="1">
        <w:r w:rsidR="00A17ED0">
          <w:rPr>
            <w:rStyle w:val="af1"/>
            <w:rFonts w:ascii="彩虹粗仿宋" w:eastAsia="彩虹粗仿宋" w:hAnsi="宋体" w:hint="eastAsia"/>
            <w:noProof/>
            <w:color w:val="auto"/>
            <w:sz w:val="28"/>
            <w:szCs w:val="32"/>
          </w:rPr>
          <w:t>二十、其他事项</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_Toc124325904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30</w:t>
        </w:r>
        <w:r w:rsidR="00A17ED0">
          <w:rPr>
            <w:rFonts w:ascii="彩虹粗仿宋" w:eastAsia="彩虹粗仿宋" w:hAnsi="宋体" w:hint="eastAsia"/>
            <w:noProof/>
            <w:sz w:val="28"/>
          </w:rPr>
          <w:fldChar w:fldCharType="end"/>
        </w:r>
      </w:hyperlink>
    </w:p>
    <w:p w14:paraId="50CD6A84" w14:textId="7891933E" w:rsidR="00C55247" w:rsidRDefault="00294FEB">
      <w:pPr>
        <w:pStyle w:val="22"/>
        <w:tabs>
          <w:tab w:val="right" w:leader="dot" w:pos="8494"/>
        </w:tabs>
        <w:rPr>
          <w:rFonts w:ascii="彩虹粗仿宋" w:eastAsia="彩虹粗仿宋" w:hAnsi="宋体"/>
          <w:noProof/>
          <w:sz w:val="28"/>
        </w:rPr>
      </w:pPr>
      <w:hyperlink w:anchor="_Toc124325905" w:history="1">
        <w:r w:rsidR="00A17ED0">
          <w:rPr>
            <w:rStyle w:val="af1"/>
            <w:rFonts w:ascii="彩虹粗仿宋" w:eastAsia="彩虹粗仿宋" w:hAnsi="宋体" w:hint="eastAsia"/>
            <w:noProof/>
            <w:color w:val="auto"/>
            <w:sz w:val="28"/>
            <w:szCs w:val="32"/>
          </w:rPr>
          <w:t>二十一、托管协议的签订</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_Toc124325905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BB10F8">
          <w:rPr>
            <w:rFonts w:ascii="彩虹粗仿宋" w:eastAsia="彩虹粗仿宋" w:hAnsi="宋体"/>
            <w:noProof/>
            <w:sz w:val="28"/>
          </w:rPr>
          <w:t>30</w:t>
        </w:r>
        <w:r w:rsidR="00A17ED0">
          <w:rPr>
            <w:rFonts w:ascii="彩虹粗仿宋" w:eastAsia="彩虹粗仿宋" w:hAnsi="宋体" w:hint="eastAsia"/>
            <w:noProof/>
            <w:sz w:val="28"/>
          </w:rPr>
          <w:fldChar w:fldCharType="end"/>
        </w:r>
      </w:hyperlink>
    </w:p>
    <w:p w14:paraId="737C2729" w14:textId="77777777" w:rsidR="00C55247" w:rsidRDefault="00A17ED0">
      <w:pPr>
        <w:rPr>
          <w:rFonts w:ascii="彩虹粗仿宋" w:eastAsia="彩虹粗仿宋"/>
          <w:sz w:val="24"/>
        </w:rPr>
      </w:pPr>
      <w:r>
        <w:rPr>
          <w:rFonts w:ascii="彩虹粗仿宋" w:eastAsia="彩虹粗仿宋" w:hAnsi="宋体" w:hint="eastAsia"/>
          <w:sz w:val="28"/>
        </w:rPr>
        <w:lastRenderedPageBreak/>
        <w:fldChar w:fldCharType="end"/>
      </w:r>
    </w:p>
    <w:p w14:paraId="7CF74E98" w14:textId="57EF0EBB" w:rsidR="00C55247" w:rsidRDefault="00A17E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国泰基金管理有限公司系一家依照中国法律合法成立并有效存续的有限责任公司，按照相关法律法规的规定具备担任基金管理人的资格和能力，拟募集发行国泰上证科创板50成份交易型开放式指数证券投资基金发起式联接基金；</w:t>
      </w:r>
    </w:p>
    <w:p w14:paraId="368F236B" w14:textId="77777777" w:rsidR="00C55247" w:rsidRDefault="00A17E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C4E7FA3" w14:textId="0567701F" w:rsidR="00C55247" w:rsidRDefault="00A17E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国泰基金管理有限公司拟担任国泰上证科创板50成份交易型开放式指数证券投资基金发起式联接基金的基金管理人，中国建设银行股份有限公司拟担任国泰上证科创板50成份交易型开放式指数证券投资基金发起式联接基金的基金托管人；</w:t>
      </w:r>
    </w:p>
    <w:p w14:paraId="5A8359CB" w14:textId="6C450716" w:rsidR="00C55247" w:rsidRDefault="00A17E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为明确国泰上证科创板50成份交易型开放式指数证券投资基金发起式联接基金</w:t>
      </w:r>
      <w:r w:rsidR="00A07E88" w:rsidRPr="00A07E88">
        <w:rPr>
          <w:rFonts w:ascii="彩虹粗仿宋" w:eastAsia="彩虹粗仿宋" w:hAnsi="宋体" w:cs="Arial" w:hint="eastAsia"/>
          <w:kern w:val="0"/>
          <w:sz w:val="24"/>
        </w:rPr>
        <w:t>（以下简称“基金”或“本基金”）</w:t>
      </w:r>
      <w:r>
        <w:rPr>
          <w:rFonts w:ascii="彩虹粗仿宋" w:eastAsia="彩虹粗仿宋" w:hAnsi="宋体" w:cs="Arial" w:hint="eastAsia"/>
          <w:kern w:val="0"/>
          <w:sz w:val="24"/>
        </w:rPr>
        <w:t>的基金管理人和基金托管人之间的权利义务关系，特制订本托管协议；</w:t>
      </w:r>
    </w:p>
    <w:p w14:paraId="7C18A8D1" w14:textId="2F2DCF2E" w:rsidR="00C55247" w:rsidRDefault="00A17ED0">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国泰上证科创板50成份交易型开放式指数证券投资基金发起式联接基金</w:t>
      </w:r>
      <w:r>
        <w:rPr>
          <w:rFonts w:ascii="彩虹粗仿宋" w:eastAsia="彩虹粗仿宋" w:hAnsi="宋体" w:cs="Arial" w:hint="eastAsia"/>
          <w:kern w:val="0"/>
          <w:sz w:val="24"/>
          <w:lang w:val="en-GB"/>
        </w:rPr>
        <w:t>基金合同》（以下简称“基金合同”或“《基金合同》”）中定义的术语在用于本托管协议时应具有相同的含义；若有抵触应以《基金合同》为准，并依其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59116597" w14:textId="77777777" w:rsidR="00C55247" w:rsidRDefault="00C55247">
      <w:pPr>
        <w:rPr>
          <w:rFonts w:ascii="彩虹粗仿宋" w:eastAsia="彩虹粗仿宋"/>
          <w:sz w:val="24"/>
          <w:lang w:val="en-GB"/>
        </w:rPr>
      </w:pPr>
    </w:p>
    <w:p w14:paraId="0B7341E0" w14:textId="77777777" w:rsidR="00C55247" w:rsidRDefault="00A17ED0">
      <w:pPr>
        <w:pStyle w:val="2"/>
        <w:jc w:val="center"/>
        <w:rPr>
          <w:rFonts w:ascii="彩虹粗仿宋" w:eastAsia="彩虹粗仿宋"/>
        </w:rPr>
      </w:pPr>
      <w:bookmarkStart w:id="0" w:name="_Toc124325885"/>
      <w:r>
        <w:rPr>
          <w:rFonts w:ascii="彩虹粗仿宋" w:eastAsia="彩虹粗仿宋" w:hint="eastAsia"/>
        </w:rPr>
        <w:t>一、基金托管协议当事人</w:t>
      </w:r>
      <w:bookmarkEnd w:id="0"/>
    </w:p>
    <w:p w14:paraId="5FB2F70E"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6FBCB54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名称：国泰基金管理有限公司</w:t>
      </w:r>
    </w:p>
    <w:p w14:paraId="3582E21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注册地址：中国（上海）自由贸易试验区浦东大道1200号2层225室</w:t>
      </w:r>
    </w:p>
    <w:p w14:paraId="79289E3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办公地址：上海市虹口区公平路18号8号楼嘉昱大厦1</w:t>
      </w:r>
      <w:r>
        <w:rPr>
          <w:rFonts w:ascii="彩虹粗仿宋" w:eastAsia="彩虹粗仿宋" w:hAnsi="宋体" w:cs="Arial"/>
          <w:sz w:val="24"/>
        </w:rPr>
        <w:t>5</w:t>
      </w:r>
      <w:r>
        <w:rPr>
          <w:rFonts w:ascii="彩虹粗仿宋" w:eastAsia="彩虹粗仿宋" w:hAnsi="宋体" w:cs="Arial" w:hint="eastAsia"/>
          <w:sz w:val="24"/>
        </w:rPr>
        <w:t>-</w:t>
      </w:r>
      <w:r>
        <w:rPr>
          <w:rFonts w:ascii="彩虹粗仿宋" w:eastAsia="彩虹粗仿宋" w:hAnsi="宋体" w:cs="Arial"/>
          <w:sz w:val="24"/>
        </w:rPr>
        <w:t>20</w:t>
      </w:r>
      <w:r>
        <w:rPr>
          <w:rFonts w:ascii="彩虹粗仿宋" w:eastAsia="彩虹粗仿宋" w:hAnsi="宋体" w:cs="Arial" w:hint="eastAsia"/>
          <w:sz w:val="24"/>
        </w:rPr>
        <w:t>层</w:t>
      </w:r>
    </w:p>
    <w:p w14:paraId="264B7D1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邮政编码：200082</w:t>
      </w:r>
    </w:p>
    <w:p w14:paraId="390B1A8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法定代表人：周向勇</w:t>
      </w:r>
    </w:p>
    <w:p w14:paraId="7A0461F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成立日期：1998</w:t>
      </w:r>
      <w:r>
        <w:rPr>
          <w:rStyle w:val="read"/>
          <w:rFonts w:ascii="彩虹粗仿宋" w:eastAsia="彩虹粗仿宋" w:hAnsi="宋体" w:cs="Arial" w:hint="eastAsia"/>
          <w:sz w:val="24"/>
        </w:rPr>
        <w:t>年3月5日</w:t>
      </w:r>
    </w:p>
    <w:p w14:paraId="152FF75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批准设立机关及批准设立文号：中国证监会证监基字【</w:t>
      </w:r>
      <w:r>
        <w:rPr>
          <w:rStyle w:val="read"/>
          <w:rFonts w:ascii="彩虹粗仿宋" w:eastAsia="彩虹粗仿宋" w:hAnsi="宋体" w:cs="Arial"/>
          <w:sz w:val="24"/>
        </w:rPr>
        <w:t>1998</w:t>
      </w:r>
      <w:r>
        <w:rPr>
          <w:rStyle w:val="read"/>
          <w:rFonts w:ascii="彩虹粗仿宋" w:eastAsia="彩虹粗仿宋" w:hAnsi="宋体" w:cs="Arial" w:hint="eastAsia"/>
          <w:sz w:val="24"/>
        </w:rPr>
        <w:t>】</w:t>
      </w:r>
      <w:r>
        <w:rPr>
          <w:rStyle w:val="read"/>
          <w:rFonts w:ascii="彩虹粗仿宋" w:eastAsia="彩虹粗仿宋" w:hAnsi="宋体" w:cs="Arial"/>
          <w:sz w:val="24"/>
        </w:rPr>
        <w:t>5</w:t>
      </w:r>
      <w:r>
        <w:rPr>
          <w:rFonts w:ascii="彩虹粗仿宋" w:eastAsia="彩虹粗仿宋" w:hAnsi="宋体" w:cs="Arial" w:hint="eastAsia"/>
          <w:sz w:val="24"/>
        </w:rPr>
        <w:t>号</w:t>
      </w:r>
    </w:p>
    <w:p w14:paraId="6C2F67C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14:paraId="71ADA54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注册资本：1.</w:t>
      </w:r>
      <w:r>
        <w:rPr>
          <w:rFonts w:ascii="彩虹粗仿宋" w:eastAsia="彩虹粗仿宋" w:hAnsi="宋体" w:cs="Arial"/>
          <w:sz w:val="24"/>
        </w:rPr>
        <w:t>1</w:t>
      </w:r>
      <w:r>
        <w:rPr>
          <w:rFonts w:ascii="彩虹粗仿宋" w:eastAsia="彩虹粗仿宋" w:hAnsi="宋体" w:cs="Arial" w:hint="eastAsia"/>
          <w:sz w:val="24"/>
        </w:rPr>
        <w:t>亿元人民币</w:t>
      </w:r>
    </w:p>
    <w:p w14:paraId="2DAA2FB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74F47B3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经营范围：基金设立、基金业务管理，及中国证监会批准的其他业务。</w:t>
      </w:r>
    </w:p>
    <w:p w14:paraId="62286FC8"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14:paraId="4455347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w:t>
      </w:r>
    </w:p>
    <w:p w14:paraId="13CB30F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75217AB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206DD7A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30F6462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72EF34D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成立日期：2004年9月17日</w:t>
      </w:r>
    </w:p>
    <w:p w14:paraId="5DCC008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批准设立机关和批准设立文号：中国银行业监督管理委员会银监复[2004</w:t>
      </w:r>
      <w:r>
        <w:rPr>
          <w:rFonts w:ascii="彩虹粗仿宋" w:eastAsia="彩虹粗仿宋" w:hAnsi="宋体" w:cs="Arial"/>
          <w:sz w:val="24"/>
        </w:rPr>
        <w:t>]</w:t>
      </w:r>
      <w:r>
        <w:rPr>
          <w:rFonts w:ascii="彩虹粗仿宋" w:eastAsia="彩虹粗仿宋" w:hAnsi="宋体" w:cs="Arial" w:hint="eastAsia"/>
          <w:sz w:val="24"/>
        </w:rPr>
        <w:t>143号</w:t>
      </w:r>
    </w:p>
    <w:p w14:paraId="763D8A8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基金托管业务批准机关及批准文号：中国证监会证监基字[1998</w:t>
      </w:r>
      <w:r>
        <w:rPr>
          <w:rFonts w:ascii="彩虹粗仿宋" w:eastAsia="彩虹粗仿宋" w:hAnsi="宋体" w:cs="Arial"/>
          <w:sz w:val="24"/>
        </w:rPr>
        <w:t>]</w:t>
      </w:r>
      <w:r>
        <w:rPr>
          <w:rFonts w:ascii="彩虹粗仿宋" w:eastAsia="彩虹粗仿宋" w:hAnsi="宋体" w:cs="Arial" w:hint="eastAsia"/>
          <w:sz w:val="24"/>
        </w:rPr>
        <w:t>12号</w:t>
      </w:r>
    </w:p>
    <w:p w14:paraId="31F7E8B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0EA834AA" w14:textId="613391A0"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注册资本：</w:t>
      </w:r>
      <w:r w:rsidR="00937444" w:rsidRPr="00937444">
        <w:rPr>
          <w:rFonts w:ascii="彩虹粗仿宋" w:eastAsia="彩虹粗仿宋" w:hAnsi="宋体" w:cs="Arial" w:hint="eastAsia"/>
          <w:sz w:val="24"/>
        </w:rPr>
        <w:t>贰仟陆佰壹拾陆亿零叁拾捌万壹仟肆佰伍拾玖元整</w:t>
      </w:r>
    </w:p>
    <w:p w14:paraId="65F9125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1F421A88" w14:textId="77777777" w:rsidR="00C55247" w:rsidRDefault="00A17ED0">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6009558" w14:textId="77777777" w:rsidR="00C55247" w:rsidRDefault="00C55247">
      <w:pPr>
        <w:rPr>
          <w:rFonts w:ascii="彩虹粗仿宋" w:eastAsia="彩虹粗仿宋"/>
          <w:sz w:val="24"/>
        </w:rPr>
      </w:pPr>
    </w:p>
    <w:p w14:paraId="1F6E24D1" w14:textId="77777777" w:rsidR="00C55247" w:rsidRDefault="00A17ED0">
      <w:pPr>
        <w:pStyle w:val="2"/>
        <w:jc w:val="center"/>
        <w:rPr>
          <w:rFonts w:ascii="彩虹粗仿宋" w:eastAsia="彩虹粗仿宋"/>
          <w:sz w:val="30"/>
        </w:rPr>
      </w:pPr>
      <w:bookmarkStart w:id="1" w:name="_Toc124325886"/>
      <w:r>
        <w:rPr>
          <w:rFonts w:ascii="彩虹粗仿宋" w:eastAsia="彩虹粗仿宋" w:hint="eastAsia"/>
          <w:sz w:val="30"/>
        </w:rPr>
        <w:t>二、基金托管协议的依据、目的和原则</w:t>
      </w:r>
      <w:bookmarkEnd w:id="1"/>
    </w:p>
    <w:p w14:paraId="5F872337" w14:textId="77777777" w:rsidR="00C55247" w:rsidRDefault="00A17ED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5E5EE52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公开募集证券投资基金运作管理办法》（以下简称“《运作办法》”）、《公开募集证券投资基金信息披露管理办法》（以下简称“《信息披露办法》”）、《商业银行托管业务监督管理办法（试行）》、《公开募集开放式证券投资基金流动性风险管理规定》（以下简称“《流动性风险管理规定》”）、《公开募集证券投资基金销售费用管理规定》等有关法律法规、《基金合同》及其他有关规定制订。</w:t>
      </w:r>
    </w:p>
    <w:p w14:paraId="7989B96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339B3D2D" w14:textId="77777777" w:rsidR="00C55247" w:rsidRDefault="00A17ED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86B23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B6F39F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50FF16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（四）若本基金实施侧袋机制的，侧袋机制实施期间的相关安排见基金合同和招募说明书的规定。</w:t>
      </w:r>
    </w:p>
    <w:p w14:paraId="295A8250" w14:textId="2DE7A31A"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w:t>
      </w:r>
      <w:r w:rsidR="00A07E88">
        <w:rPr>
          <w:rFonts w:ascii="彩虹粗仿宋" w:eastAsia="彩虹粗仿宋" w:hAnsi="宋体" w:cs="Arial" w:hint="eastAsia"/>
          <w:sz w:val="24"/>
        </w:rPr>
        <w:t>基金</w:t>
      </w:r>
      <w:r>
        <w:rPr>
          <w:rFonts w:ascii="彩虹粗仿宋" w:eastAsia="彩虹粗仿宋" w:hAnsi="宋体" w:cs="Arial" w:hint="eastAsia"/>
          <w:sz w:val="24"/>
        </w:rPr>
        <w:t>托管人免责声明</w:t>
      </w:r>
    </w:p>
    <w:p w14:paraId="10460C2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基金托管人开展托管业务，不得承担以下职责：</w:t>
      </w:r>
    </w:p>
    <w:p w14:paraId="6A4E27B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1.承担基金财产的信用风险、市场风险等；</w:t>
      </w:r>
    </w:p>
    <w:p w14:paraId="53574E2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2.为基金提供直接或间接、显性或隐性担保，包括承诺本金或保证收益；</w:t>
      </w:r>
    </w:p>
    <w:p w14:paraId="575D4B5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3.为基金垫付资金、提供流动性支持或融资承诺等；</w:t>
      </w:r>
    </w:p>
    <w:p w14:paraId="31200C0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4.参与投资者适当性管理；</w:t>
      </w:r>
    </w:p>
    <w:p w14:paraId="357AC7C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5.保证投资项目及交易信息真实性；</w:t>
      </w:r>
    </w:p>
    <w:p w14:paraId="424E151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6.保证基金资金来源的合法合规性；</w:t>
      </w:r>
    </w:p>
    <w:p w14:paraId="488B4B3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7.对已划出托管账户以及处于基金托管人实际控制之外的资产承担保管责任；</w:t>
      </w:r>
    </w:p>
    <w:p w14:paraId="22D0C07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8.参与基金管理人对基金的投资决策；</w:t>
      </w:r>
    </w:p>
    <w:p w14:paraId="3D736B8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9.违规代替基金管理人向其他机构或者个人进行基金信息披露或提供相关数据信息；</w:t>
      </w:r>
    </w:p>
    <w:p w14:paraId="0FF0973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10.基金管理人未接受基金托管人的复核意见进行信息披露产生的相应责任；</w:t>
      </w:r>
    </w:p>
    <w:p w14:paraId="1BE536C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11.负责未兑付产品的资金追偿、财产保全、诉讼仲裁、债务重组和破产程序等，法律另有规定的除外；</w:t>
      </w:r>
    </w:p>
    <w:p w14:paraId="4372389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12.因不可抗力，以及非本机构履职错误或过失造成的托管资产损失；</w:t>
      </w:r>
    </w:p>
    <w:p w14:paraId="19FE267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13.国务院金融监管部门规定的不属于基金托管人托管业务范围的其他职责。</w:t>
      </w:r>
    </w:p>
    <w:p w14:paraId="7FADD90E" w14:textId="77777777" w:rsidR="00C55247" w:rsidRDefault="00C55247">
      <w:pPr>
        <w:rPr>
          <w:rFonts w:ascii="彩虹粗仿宋" w:eastAsia="彩虹粗仿宋"/>
          <w:sz w:val="24"/>
        </w:rPr>
      </w:pPr>
    </w:p>
    <w:p w14:paraId="4B6CF508" w14:textId="77777777" w:rsidR="00C55247" w:rsidRDefault="00A17ED0">
      <w:pPr>
        <w:pStyle w:val="2"/>
        <w:jc w:val="center"/>
        <w:rPr>
          <w:rFonts w:ascii="彩虹粗仿宋" w:eastAsia="彩虹粗仿宋"/>
          <w:sz w:val="30"/>
          <w:szCs w:val="24"/>
        </w:rPr>
      </w:pPr>
      <w:bookmarkStart w:id="2" w:name="_Toc124325887"/>
      <w:r>
        <w:rPr>
          <w:rFonts w:ascii="彩虹粗仿宋" w:eastAsia="彩虹粗仿宋" w:hint="eastAsia"/>
          <w:sz w:val="30"/>
        </w:rPr>
        <w:t>三、基金托管人对基金管理人的业务监督和核查</w:t>
      </w:r>
      <w:bookmarkEnd w:id="2"/>
    </w:p>
    <w:p w14:paraId="2E0112F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55B8D9E1" w14:textId="77777777" w:rsidR="00C55247" w:rsidRDefault="00A17ED0">
      <w:pPr>
        <w:adjustRightInd w:val="0"/>
        <w:snapToGrid w:val="0"/>
        <w:ind w:firstLineChars="200" w:firstLine="480"/>
        <w:rPr>
          <w:rFonts w:ascii="彩虹粗仿宋" w:eastAsia="彩虹粗仿宋" w:hAnsi="宋体" w:cs="Arial"/>
          <w:sz w:val="24"/>
        </w:rPr>
      </w:pPr>
      <w:bookmarkStart w:id="3" w:name="_Hlk117759641"/>
      <w:bookmarkStart w:id="4" w:name="_Hlk223206377"/>
      <w:bookmarkStart w:id="5" w:name="OLE_LINK79"/>
      <w:bookmarkStart w:id="6" w:name="OLE_LINK80"/>
      <w:r>
        <w:rPr>
          <w:rFonts w:ascii="彩虹粗仿宋" w:eastAsia="彩虹粗仿宋" w:hAnsi="宋体" w:cs="Arial" w:hint="eastAsia"/>
          <w:sz w:val="24"/>
        </w:rPr>
        <w:t>本基金主要投资于目标ETF、标的指数成份股（含存托凭证）、备选成份股（含存托凭证）。为更好地实现投资目标，本基金还可投资于非标的指数成份股（包括主板、科创板、创业板及其他中国证监会允许基金投资的股票、存托凭证）、债券（包括国债、央行票据、地方政府债券、政府支持机构债券、政府支持债券、金融债、企业债、公司债、次级债、中期票据、短期融资券、超短期融资券、可转换债券（含分离交易可转债）、可交换债券等）、债券回购、金融衍生工具（包括股指期货、国债期货、股票期权等）、资产支持证券、同业存单、银行存款、货币市场工具以及法律法规或中国证监会允许基金投资的其他金融工具（但须符合中国证监会相关规定）。</w:t>
      </w:r>
    </w:p>
    <w:p w14:paraId="2F8B701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本基金可根据法律法规的规定参与融资和转融通证券出借业务。</w:t>
      </w:r>
    </w:p>
    <w:p w14:paraId="13581D0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本基金投资于目标ETF的比例不低于基金资产净值的90%。每个交易日日终在扣除股指期货合约和国债期货合约需缴纳的交易保证金后，本基金持有的现金或者到期日在一年以内的政府债券不低于基金资产净值的5%，其中，现金不包括结算备付金、存出保证金和应收申购款等。</w:t>
      </w:r>
    </w:p>
    <w:p w14:paraId="67C60C51" w14:textId="6D031472"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如法律法规或监管机构以后允许基金投资股指期权等其他金融衍生工具或者其他投资品种或变更投资比例限制，基金管理人在履行适当程序后，可以相应调整本基金的投资范围和投资比例规定。</w:t>
      </w:r>
    </w:p>
    <w:p w14:paraId="6B162454"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（二）基金托管人根据有关法律法规的规定及《基金合同》的约定，对基金投资比例进行监督。基金托管人按下述比例和调整期限进行监督：</w:t>
      </w:r>
    </w:p>
    <w:p w14:paraId="17D54D60"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（1）本基金投资于目标ETF的比例不低于基金资产净值的90%；</w:t>
      </w:r>
    </w:p>
    <w:p w14:paraId="6D0629CC"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2）每个交易日日终在扣除股指期货合约和国债期货合约需缴纳的交易保证金后，本基金持有的现金或者到期日在一年以内的政府债券不低于基金资产净值的5%，其中，现金不包括结算备付金、存出保证金和应收申购款等；</w:t>
      </w:r>
    </w:p>
    <w:p w14:paraId="207E73B8"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（3）本基金投资于同一原始权益人的各类资产支持证券的比例，不得超过基金资产净值的10%；</w:t>
      </w:r>
    </w:p>
    <w:p w14:paraId="2E2A1005"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（4）本基金持有的全部资产支持证券，其市值不得超过基金资产净值的20%；</w:t>
      </w:r>
    </w:p>
    <w:p w14:paraId="1EB54FCF"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（5）本基金持有的同一（指同一信用级别）资产支持证券的比例，不得超过该资产支持证券规模的10%；</w:t>
      </w:r>
    </w:p>
    <w:p w14:paraId="2CC37052" w14:textId="06BB4E64"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（6）本基金管理人管理的</w:t>
      </w:r>
      <w:r w:rsidR="001927D7" w:rsidRPr="00080E64">
        <w:rPr>
          <w:rFonts w:ascii="彩虹粗仿宋" w:eastAsia="彩虹粗仿宋" w:hint="eastAsia"/>
          <w:color w:val="000000" w:themeColor="text1"/>
          <w:sz w:val="24"/>
        </w:rPr>
        <w:t>且在本基金托管人处托管的</w:t>
      </w:r>
      <w:r>
        <w:rPr>
          <w:rFonts w:ascii="彩虹粗仿宋" w:eastAsia="彩虹粗仿宋" w:hint="eastAsia"/>
          <w:sz w:val="24"/>
        </w:rPr>
        <w:t>全部基金投资于同一原始权益人的各类资产支持证券，不得超过其各类资产支持证券合计规模的10%；</w:t>
      </w:r>
    </w:p>
    <w:p w14:paraId="60B8D580"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（7）本基金应投资于信用级别评级为BBB以上（含BBB）的资产支持证券。基金持有资产支持证券期间，如果其信用等级下降、不再符合投资标准，应在评级报告发布之日起3个月内予以全部卖出；</w:t>
      </w:r>
    </w:p>
    <w:p w14:paraId="2DE375EE"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（8）基金财产参与股票发行申购，本基金所申报的金额不超过本基金的总资</w:t>
      </w:r>
      <w:r>
        <w:rPr>
          <w:rFonts w:ascii="彩虹粗仿宋" w:eastAsia="彩虹粗仿宋" w:hint="eastAsia"/>
          <w:sz w:val="24"/>
        </w:rPr>
        <w:lastRenderedPageBreak/>
        <w:t>产，本基金所申报的股票数量不超过拟发行股票公司本次发行股票的总量；</w:t>
      </w:r>
    </w:p>
    <w:p w14:paraId="0A2FEA8E"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（9）本基金若参与股指期货交易，应遵守以下投资限制：</w:t>
      </w:r>
    </w:p>
    <w:p w14:paraId="6B45FAD0"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1）本基金在任何交易日日终，持有的买入股指期货合约价值，不得超过基金资产净值的10%；</w:t>
      </w:r>
    </w:p>
    <w:p w14:paraId="76B3E45C"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2）本基金在任何交易日日终，持有的卖出股指期货合约价值不得超过基金持有的股票总市值的20%；</w:t>
      </w:r>
    </w:p>
    <w:p w14:paraId="6E4CA5B7"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3）本基金所持有的股票市值和买入、卖出股指期货合约价值，合计（轧差计算）应当符合基金合同关于股票投资比例的有关约定；</w:t>
      </w:r>
    </w:p>
    <w:p w14:paraId="0D7E46E8"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4）本基金在任何交易日内交易（不包括平仓）的股指期货合约的成交金额不得超过上一交易日基金资产净值的20%；</w:t>
      </w:r>
    </w:p>
    <w:p w14:paraId="4072FBA3"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（10）本基金若参与国债期货交易，应遵守以下投资限制：</w:t>
      </w:r>
    </w:p>
    <w:p w14:paraId="162C6F63"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1）本基金在任何交易日日终，持有的买入国债期货合约价值，不得超过基金资产净值的15%；</w:t>
      </w:r>
    </w:p>
    <w:p w14:paraId="41B9F445"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2）本基金在任何交易日日终，持有的卖出国债期货合约价值不得超过基金持有的债券总市值的30%；</w:t>
      </w:r>
    </w:p>
    <w:p w14:paraId="15DCC39A"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3）本基金在任何交易日内交易（不包括平仓）的国债期货合约的成交金额不得超过上一交易日基金资产净值的30%；</w:t>
      </w:r>
    </w:p>
    <w:p w14:paraId="68F57249"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11）本基金若参与国债期货、股指期货交易，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14:paraId="2B2E454B"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（12）本基金若参与股票期权交易，应遵守以下投资限制：</w:t>
      </w:r>
    </w:p>
    <w:p w14:paraId="292521DE"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1）本基金因未平仓的期权合约支付和收取的权利金总额不得超过基金资产净值的10%；</w:t>
      </w:r>
    </w:p>
    <w:p w14:paraId="282EEF39" w14:textId="10188627" w:rsidR="00C55247" w:rsidRDefault="001A04F0">
      <w:pPr>
        <w:adjustRightInd w:val="0"/>
        <w:snapToGrid w:val="0"/>
        <w:ind w:firstLineChars="200" w:firstLine="480"/>
        <w:rPr>
          <w:rFonts w:ascii="彩虹粗仿宋" w:eastAsia="彩虹粗仿宋"/>
          <w:sz w:val="24"/>
        </w:rPr>
      </w:pPr>
      <w:r>
        <w:rPr>
          <w:rFonts w:ascii="彩虹粗仿宋" w:eastAsia="彩虹粗仿宋"/>
          <w:sz w:val="24"/>
        </w:rPr>
        <w:t>2</w:t>
      </w:r>
      <w:r w:rsidR="00A17ED0">
        <w:rPr>
          <w:rFonts w:ascii="彩虹粗仿宋" w:eastAsia="彩虹粗仿宋" w:hint="eastAsia"/>
          <w:sz w:val="24"/>
        </w:rPr>
        <w:t>）本基金未平仓的期权合约面值不得超过基金资产净值的20%。其中，合约面值按照行权价乘以合约乘数计算；</w:t>
      </w:r>
    </w:p>
    <w:p w14:paraId="2B9C3334"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（13）本基金若参与融资业务，每个交易日日终，本基金持有的融资买入股票与其他有价证券市值之和，不得超过基金资产净值的95%；</w:t>
      </w:r>
    </w:p>
    <w:p w14:paraId="22650F09"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（14）本基金若参与转融通证券出借业务，应遵守以下投资限制：</w:t>
      </w:r>
    </w:p>
    <w:p w14:paraId="19FE8824"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1）参与转融通证券出借业务的资产，不得超过基金资产净值的30%，其中，出借期限在10个交易日以上的出借证券，纳入《流动性风险管理规定》所述流动性受限证券的范围；</w:t>
      </w:r>
    </w:p>
    <w:p w14:paraId="54B98593"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2）参与转融通证券出借业务的单只证券不得超过本基金持有该证券总量的50%；</w:t>
      </w:r>
    </w:p>
    <w:p w14:paraId="6C463097"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3）最近6个月内日均基金资产净值不得低于2亿元；</w:t>
      </w:r>
    </w:p>
    <w:p w14:paraId="5BC3090A"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4）证券出借的平均剩余期限不得超过30天，平均剩余期限按照市值加权平均计算；</w:t>
      </w:r>
    </w:p>
    <w:p w14:paraId="643EABF5"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5）因证券市场波动、上市公司合并、基金规模变动等基金管理人之外的因素致使基金投资不符合上述比例限制的，基金管理人不得新增出借业务；</w:t>
      </w:r>
    </w:p>
    <w:p w14:paraId="5357C259"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2984076" w14:textId="0DCBC6C1"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w:t>
      </w:r>
      <w:r w:rsidR="00C12D1A">
        <w:rPr>
          <w:rFonts w:ascii="彩虹粗仿宋" w:eastAsia="彩虹粗仿宋" w:hint="eastAsia"/>
          <w:sz w:val="24"/>
        </w:rPr>
        <w:t>1</w:t>
      </w:r>
      <w:r w:rsidR="00C12D1A">
        <w:rPr>
          <w:rFonts w:ascii="彩虹粗仿宋" w:eastAsia="彩虹粗仿宋"/>
          <w:sz w:val="24"/>
        </w:rPr>
        <w:t>6</w:t>
      </w:r>
      <w:r>
        <w:rPr>
          <w:rFonts w:ascii="彩虹粗仿宋" w:eastAsia="彩虹粗仿宋" w:hint="eastAsia"/>
          <w:sz w:val="24"/>
        </w:rPr>
        <w:t>）本基金资产总值不超过基金资产净值的140%；</w:t>
      </w:r>
    </w:p>
    <w:p w14:paraId="35EDCCE7" w14:textId="3842BFB6"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w:t>
      </w:r>
      <w:r w:rsidR="00C12D1A">
        <w:rPr>
          <w:rFonts w:ascii="彩虹粗仿宋" w:eastAsia="彩虹粗仿宋" w:hint="eastAsia"/>
          <w:sz w:val="24"/>
        </w:rPr>
        <w:t>1</w:t>
      </w:r>
      <w:r w:rsidR="00C12D1A">
        <w:rPr>
          <w:rFonts w:ascii="彩虹粗仿宋" w:eastAsia="彩虹粗仿宋"/>
          <w:sz w:val="24"/>
        </w:rPr>
        <w:t>7</w:t>
      </w:r>
      <w:r>
        <w:rPr>
          <w:rFonts w:ascii="彩虹粗仿宋" w:eastAsia="彩虹粗仿宋" w:hint="eastAsia"/>
          <w:sz w:val="24"/>
        </w:rPr>
        <w:t>）本基金投资存托凭证的比例限制依照境内上市交易的股票执行，与境内上市交易的股票合并计算；</w:t>
      </w:r>
    </w:p>
    <w:p w14:paraId="7EDA922E" w14:textId="3B781156"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w:t>
      </w:r>
      <w:r w:rsidR="00C12D1A">
        <w:rPr>
          <w:rFonts w:ascii="彩虹粗仿宋" w:eastAsia="彩虹粗仿宋" w:hint="eastAsia"/>
          <w:sz w:val="24"/>
        </w:rPr>
        <w:t>1</w:t>
      </w:r>
      <w:r w:rsidR="00C12D1A">
        <w:rPr>
          <w:rFonts w:ascii="彩虹粗仿宋" w:eastAsia="彩虹粗仿宋"/>
          <w:sz w:val="24"/>
        </w:rPr>
        <w:t>8</w:t>
      </w:r>
      <w:r>
        <w:rPr>
          <w:rFonts w:ascii="彩虹粗仿宋" w:eastAsia="彩虹粗仿宋" w:hint="eastAsia"/>
          <w:sz w:val="24"/>
        </w:rPr>
        <w:t>）法律法规及中国证监会规定的和《基金合同》约定的其他投资限制。</w:t>
      </w:r>
    </w:p>
    <w:p w14:paraId="2226EDDE" w14:textId="27CF1F01"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因证券/期货市场波动、基金规模变动、标的指数成份股调整、标的指数成份股流动性限制、目标ETF暂停申购、赎回或二级市场交易停牌等基金管理人之外的因素致使基金投资比例不符合上述第（1）项规定投资比例的，基金管理人应当在相关证券可交易的20个交易日内进行调整。除上述第（1）、（2）、（7）、（14）、（15）项情形之外，因证券/期货市场波动、证券发行人合并、基金规模变动、标的指数成份股调整、标的指数成份股流动性限制、目标ETF暂停申购、赎回或二级市场交易停牌等基金管理人之外的因素致使基金投资比例不符合上述规定投资比例的，基金管理人应当在相关证券可交易的10个交易日内进行调整，但中国证监会规定的特殊情形除外。法律法规另有规定的从其规定。</w:t>
      </w:r>
    </w:p>
    <w:p w14:paraId="4A801A91" w14:textId="6108F20D"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投资的监督与检查自基金合同生效之日起开始。</w:t>
      </w:r>
    </w:p>
    <w:p w14:paraId="155E17E6" w14:textId="4EE0BB1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法律、行政法规或监管部门取消或变更上述限制，如适用于本基金，基金管理人在履行适当程序后，则本基金投资不再受相关限制或按变更后的规定执行。</w:t>
      </w:r>
    </w:p>
    <w:bookmarkEnd w:id="3"/>
    <w:p w14:paraId="1106D0D8" w14:textId="77777777" w:rsidR="00C55247" w:rsidRDefault="00A17ED0">
      <w:pPr>
        <w:adjustRightInd w:val="0"/>
        <w:snapToGrid w:val="0"/>
        <w:ind w:firstLineChars="200" w:firstLine="480"/>
        <w:rPr>
          <w:rFonts w:ascii="彩虹粗仿宋" w:eastAsia="彩虹粗仿宋"/>
          <w:i/>
          <w:sz w:val="24"/>
        </w:rPr>
      </w:pPr>
      <w:r>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4D86B55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7" w:name="OLE_LINK1"/>
      <w:r>
        <w:rPr>
          <w:rFonts w:ascii="彩虹粗仿宋" w:eastAsia="彩虹粗仿宋" w:hAnsi="宋体" w:cs="Arial" w:hint="eastAsia"/>
          <w:sz w:val="24"/>
        </w:rPr>
        <w:t>根据有关法律法规的规定及《基金合同》的约定，</w:t>
      </w:r>
      <w:bookmarkEnd w:id="7"/>
      <w:r>
        <w:rPr>
          <w:rFonts w:ascii="彩虹粗仿宋" w:eastAsia="彩虹粗仿宋" w:hAnsi="宋体" w:cs="Arial" w:hint="eastAsia"/>
          <w:sz w:val="24"/>
        </w:rPr>
        <w:t>对本托管协议第十五条第（九）款基金投资禁止行为通过事后监督方式进行监督。</w:t>
      </w:r>
    </w:p>
    <w:p w14:paraId="7D62D79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0FE99D8" w14:textId="77777777" w:rsidR="00C55247" w:rsidRDefault="00A17ED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法律、行政法规或监管部门取消或变更上述限制，如适用于本基金，基金管理人在履行适当程序后，则本基金投资不再受相关限制或按变更后的规定执行。</w:t>
      </w:r>
    </w:p>
    <w:bookmarkEnd w:id="4"/>
    <w:bookmarkEnd w:id="5"/>
    <w:bookmarkEnd w:id="6"/>
    <w:p w14:paraId="05C28F0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（四）基金托管人根据有关法律法规的规定及《基金合同》的约定，对基金管理人投资流通受限证券进行监督。</w:t>
      </w:r>
    </w:p>
    <w:p w14:paraId="13F6A3B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77F27917"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C1C659C" w14:textId="77777777" w:rsidR="00C55247" w:rsidRDefault="00A17ED0">
      <w:pPr>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5872EE0F" w14:textId="60DE2314" w:rsidR="00C55247" w:rsidRDefault="00A17ED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投资的流通受限证券应保证登记存管在本基金名下，基金管理人负责相关工作的落实和协调，并确保基金托管人能够正常查询。因基金管理人原因产</w:t>
      </w:r>
      <w:r>
        <w:rPr>
          <w:rFonts w:ascii="彩虹粗仿宋" w:eastAsia="彩虹粗仿宋" w:hint="eastAsia"/>
          <w:sz w:val="24"/>
        </w:rPr>
        <w:lastRenderedPageBreak/>
        <w:t>生的流通受限证券登记存管问题，造成基金托管人无法安全保管本基金资产的责任与损失，及因流通受限证券存管直接影响本基金安全的责任及损失，</w:t>
      </w:r>
      <w:r>
        <w:rPr>
          <w:rFonts w:ascii="彩虹粗仿宋" w:eastAsia="彩虹粗仿宋" w:hAnsi="宋体" w:cs="Arial" w:hint="eastAsia"/>
          <w:sz w:val="24"/>
        </w:rPr>
        <w:t>由基金管理人承担</w:t>
      </w:r>
      <w:r>
        <w:rPr>
          <w:rFonts w:ascii="彩虹粗仿宋" w:eastAsia="彩虹粗仿宋" w:hint="eastAsia"/>
          <w:sz w:val="24"/>
        </w:rPr>
        <w:t>。</w:t>
      </w:r>
    </w:p>
    <w:p w14:paraId="4C238DD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w:t>
      </w:r>
      <w:r>
        <w:rPr>
          <w:rFonts w:ascii="彩虹粗仿宋" w:eastAsia="彩虹粗仿宋" w:hAnsi="宋体" w:cs="Arial" w:hint="eastAsia"/>
          <w:sz w:val="24"/>
        </w:rPr>
        <w:t>若有最新法律法规、监管政策变更规定的，根据最新法律法规、监管政策执行。</w:t>
      </w:r>
    </w:p>
    <w:p w14:paraId="0B063E04" w14:textId="77777777" w:rsidR="00C55247" w:rsidRDefault="00A17ED0">
      <w:pPr>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985D40E" w14:textId="77777777" w:rsidR="00C55247" w:rsidRDefault="00A17ED0">
      <w:pPr>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责任。如因基金管理人原因导致本基金出现损失致使基金托管人承担连带赔偿责任的，基金管理人应赔偿基金托管人由此遭受的损失。</w:t>
      </w:r>
    </w:p>
    <w:p w14:paraId="6E24E431" w14:textId="77777777" w:rsidR="00C55247" w:rsidRDefault="00A17ED0">
      <w:pPr>
        <w:ind w:firstLineChars="200" w:firstLine="480"/>
        <w:rPr>
          <w:rFonts w:ascii="彩虹粗仿宋" w:eastAsia="彩虹粗仿宋"/>
          <w:sz w:val="24"/>
        </w:rPr>
      </w:pPr>
      <w:r>
        <w:rPr>
          <w:rFonts w:ascii="彩虹粗仿宋" w:eastAsia="彩虹粗仿宋" w:hAnsi="宋体" w:cs="Arial" w:hint="eastAsia"/>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853141B" w14:textId="77777777" w:rsidR="00C55247" w:rsidRDefault="00A17ED0">
      <w:pPr>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4636FD4A" w14:textId="77777777" w:rsidR="00C55247" w:rsidRDefault="00A17ED0">
      <w:pPr>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469FE38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（3）基金拟认购的数量、价格、总成本、账面价值。</w:t>
      </w:r>
    </w:p>
    <w:p w14:paraId="7EE8EEEF" w14:textId="44A23D9B" w:rsidR="00C55247" w:rsidRDefault="00A17ED0">
      <w:pPr>
        <w:ind w:firstLineChars="200" w:firstLine="480"/>
        <w:rPr>
          <w:rFonts w:ascii="彩虹粗仿宋" w:eastAsia="彩虹粗仿宋"/>
          <w:sz w:val="24"/>
        </w:rPr>
      </w:pPr>
      <w:r>
        <w:rPr>
          <w:rFonts w:ascii="彩虹粗仿宋" w:eastAsia="彩虹粗仿宋" w:hAnsi="宋体" w:cs="Arial" w:hint="eastAsia"/>
          <w:sz w:val="24"/>
        </w:rPr>
        <w:t>4、</w:t>
      </w:r>
      <w:r>
        <w:rPr>
          <w:rFonts w:ascii="彩虹粗仿宋" w:eastAsia="彩虹粗仿宋" w:hint="eastAsia"/>
          <w:sz w:val="24"/>
        </w:rPr>
        <w:t>基金管理人应在本基金投资非公开发行股票后</w:t>
      </w:r>
      <w:r w:rsidR="00A07E88">
        <w:rPr>
          <w:rFonts w:ascii="彩虹粗仿宋" w:eastAsia="彩虹粗仿宋" w:hAnsi="宋体" w:cs="Arial" w:hint="eastAsia"/>
          <w:sz w:val="24"/>
        </w:rPr>
        <w:t>按照相关法律法规要求规定</w:t>
      </w:r>
      <w:r>
        <w:rPr>
          <w:rFonts w:ascii="彩虹粗仿宋" w:eastAsia="彩虹粗仿宋" w:hint="eastAsia"/>
          <w:sz w:val="24"/>
        </w:rPr>
        <w:t>，在中国证监会规定媒介披露所投资非公开发行股票的名称、数量、总成本、账面价值，以及总成本和账面价值占基金资产净值的比例、锁定期等信息。</w:t>
      </w:r>
    </w:p>
    <w:p w14:paraId="492343CE" w14:textId="44F4B2CC" w:rsidR="00C55247" w:rsidRDefault="00A17ED0">
      <w:pPr>
        <w:ind w:firstLineChars="200" w:firstLine="480"/>
        <w:rPr>
          <w:rFonts w:ascii="彩虹粗仿宋" w:eastAsia="彩虹粗仿宋" w:hAnsi="宋体" w:cs="Arial"/>
          <w:sz w:val="24"/>
        </w:rPr>
      </w:pPr>
      <w:r>
        <w:rPr>
          <w:rFonts w:ascii="彩虹粗仿宋" w:eastAsia="彩虹粗仿宋" w:hint="eastAsia"/>
          <w:sz w:val="24"/>
        </w:rPr>
        <w:t>本基金有关投资流通受限证券比例如违反有关限制规定，在合理期限内未能进行及时调整，</w:t>
      </w:r>
      <w:r>
        <w:rPr>
          <w:rFonts w:ascii="彩虹粗仿宋" w:eastAsia="彩虹粗仿宋" w:hAnsi="宋体" w:cs="Arial" w:hint="eastAsia"/>
          <w:sz w:val="24"/>
        </w:rPr>
        <w:t>基金管理人按照《信息披露办法》的要求进行编制临时报告书，予以公告</w:t>
      </w:r>
      <w:r>
        <w:rPr>
          <w:rFonts w:ascii="彩虹粗仿宋" w:eastAsia="彩虹粗仿宋" w:hint="eastAsia"/>
          <w:sz w:val="24"/>
        </w:rPr>
        <w:t>。</w:t>
      </w:r>
    </w:p>
    <w:p w14:paraId="76925EF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kern w:val="0"/>
          <w:sz w:val="24"/>
        </w:rPr>
        <w:t>5、</w:t>
      </w:r>
      <w:r>
        <w:rPr>
          <w:rFonts w:ascii="彩虹粗仿宋" w:eastAsia="彩虹粗仿宋" w:hint="eastAsia"/>
          <w:kern w:val="0"/>
          <w:sz w:val="24"/>
        </w:rPr>
        <w:t>相关法律法规对基金投资流通受限证券有新规定的，从其规定。</w:t>
      </w:r>
    </w:p>
    <w:p w14:paraId="438CB73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参与转融通证券出借业务，基金管理人应当遵守审慎经营原则，配备技术系统和专业人员，制定科学合理的投资策略和风险管理制度，完善业务流程，有效防范和控制风险。基金托管人将对基金参与出借业务的投资比例进行监督和复核。</w:t>
      </w:r>
    </w:p>
    <w:p w14:paraId="09E5B7C8" w14:textId="7A7C1199"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CC81ED1" w14:textId="04BC2474"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回函，就基金托管人的疑义进行解释或举证，说明违规原因及纠正期限，并保证在规定期限内及时改正。在上述规定期限内，基金托管人有权随时对通知事项进</w:t>
      </w:r>
      <w:r>
        <w:rPr>
          <w:rFonts w:ascii="彩虹粗仿宋" w:eastAsia="彩虹粗仿宋" w:hAnsi="宋体" w:cs="Arial" w:hint="eastAsia"/>
          <w:sz w:val="24"/>
        </w:rPr>
        <w:lastRenderedPageBreak/>
        <w:t>行复查，督促基金管理人改正。基金管理人对基金托管人通知的违规事项未能在限期内纠正的，基金托管人应报告中国证监会。</w:t>
      </w:r>
    </w:p>
    <w:p w14:paraId="03EC725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基金托管人投资监督的准确性和完整性受限于基金管理人、证券经纪商及其他中介机构提供的数据和信息。基金托管人在充分获取所必需数据信息的前提下提供投资监督服务。</w:t>
      </w:r>
    </w:p>
    <w:p w14:paraId="34530361" w14:textId="40CF3202"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或其他双方认可形式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FB576B4" w14:textId="67BE5595"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（九）若基金托管人发现基金管理人依据交易程序已经生效的指令违反法律、行政法规和其他有关规定，或者违反《基金合同》约定的，应当及时通知基金管理人，由此造成的损失由基金管理人承担。</w:t>
      </w:r>
    </w:p>
    <w:p w14:paraId="1F97C8C2" w14:textId="0BE633B0"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1CFD8D93" w14:textId="77777777" w:rsidR="00C55247" w:rsidRDefault="00C55247">
      <w:pPr>
        <w:rPr>
          <w:rFonts w:ascii="彩虹粗仿宋" w:eastAsia="彩虹粗仿宋"/>
          <w:sz w:val="24"/>
        </w:rPr>
      </w:pPr>
    </w:p>
    <w:p w14:paraId="462D04BD" w14:textId="77777777" w:rsidR="00C55247" w:rsidRDefault="00A17ED0">
      <w:pPr>
        <w:pStyle w:val="2"/>
        <w:jc w:val="center"/>
        <w:rPr>
          <w:rFonts w:ascii="彩虹粗仿宋" w:eastAsia="彩虹粗仿宋"/>
          <w:sz w:val="30"/>
        </w:rPr>
      </w:pPr>
      <w:bookmarkStart w:id="8" w:name="_Toc86223242"/>
      <w:bookmarkStart w:id="9" w:name="_Toc86737929"/>
      <w:bookmarkStart w:id="10" w:name="_Toc86727355"/>
      <w:bookmarkStart w:id="11" w:name="_Toc110761796"/>
      <w:bookmarkStart w:id="12" w:name="_Toc124325888"/>
      <w:bookmarkStart w:id="13" w:name="_Toc110830492"/>
      <w:bookmarkStart w:id="14" w:name="_Toc89163368"/>
      <w:bookmarkStart w:id="15" w:name="_Toc86225291"/>
      <w:bookmarkStart w:id="16" w:name="_Toc86649722"/>
      <w:bookmarkStart w:id="17" w:name="_Toc118774803"/>
      <w:bookmarkStart w:id="18" w:name="_Toc86726439"/>
      <w:bookmarkStart w:id="19" w:name="_Toc110765660"/>
      <w:bookmarkStart w:id="20" w:name="_Toc118212950"/>
      <w:bookmarkStart w:id="21" w:name="_Toc108512358"/>
      <w:bookmarkStart w:id="22" w:name="_Toc120435783"/>
      <w:bookmarkStart w:id="23" w:name="_Toc119402710"/>
      <w:bookmarkStart w:id="24" w:name="_Toc118972648"/>
      <w:r>
        <w:rPr>
          <w:rFonts w:ascii="彩虹粗仿宋" w:eastAsia="彩虹粗仿宋"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81B935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64EF36EE" w14:textId="19599266"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或其他双方认可的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基金财产的完整性和真实性，在规定时间内答复基金管理人并改正。</w:t>
      </w:r>
    </w:p>
    <w:p w14:paraId="481B449E" w14:textId="1C746EF8"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w:t>
      </w:r>
      <w:r w:rsidR="00756F35">
        <w:rPr>
          <w:rFonts w:ascii="彩虹粗仿宋" w:eastAsia="彩虹粗仿宋" w:hAnsi="宋体" w:cs="Arial" w:hint="eastAsia"/>
          <w:sz w:val="24"/>
        </w:rPr>
        <w:t>基金管理人</w:t>
      </w:r>
      <w:r>
        <w:rPr>
          <w:rFonts w:ascii="彩虹粗仿宋" w:eastAsia="彩虹粗仿宋" w:hAnsi="宋体" w:cs="Arial" w:hint="eastAsia"/>
          <w:sz w:val="24"/>
        </w:rPr>
        <w:t>进行有效监督，情节严重或经基金管理人提出警告仍不改正的，基金管理人应报告中国证监会。</w:t>
      </w:r>
    </w:p>
    <w:p w14:paraId="59243A69" w14:textId="77777777" w:rsidR="00C55247" w:rsidRDefault="00C55247">
      <w:pPr>
        <w:rPr>
          <w:rFonts w:ascii="彩虹粗仿宋" w:eastAsia="彩虹粗仿宋"/>
          <w:sz w:val="24"/>
        </w:rPr>
      </w:pPr>
    </w:p>
    <w:p w14:paraId="5DE1C641" w14:textId="77777777" w:rsidR="00C55247" w:rsidRDefault="00A17ED0">
      <w:pPr>
        <w:pStyle w:val="2"/>
        <w:jc w:val="center"/>
        <w:rPr>
          <w:rFonts w:ascii="彩虹粗仿宋" w:eastAsia="彩虹粗仿宋"/>
          <w:sz w:val="30"/>
        </w:rPr>
      </w:pPr>
      <w:bookmarkStart w:id="25" w:name="_Toc86737930"/>
      <w:bookmarkStart w:id="26" w:name="_Toc86726440"/>
      <w:bookmarkStart w:id="27" w:name="_Toc86225292"/>
      <w:bookmarkStart w:id="28" w:name="_Toc84133786"/>
      <w:bookmarkStart w:id="29" w:name="_Toc118774804"/>
      <w:bookmarkStart w:id="30" w:name="_Toc110761797"/>
      <w:bookmarkStart w:id="31" w:name="_Toc119402711"/>
      <w:bookmarkStart w:id="32" w:name="_Toc120435784"/>
      <w:bookmarkStart w:id="33" w:name="_Toc124325889"/>
      <w:bookmarkStart w:id="34" w:name="_Toc86223243"/>
      <w:bookmarkStart w:id="35" w:name="_Toc118972649"/>
      <w:bookmarkStart w:id="36" w:name="_Toc110765661"/>
      <w:bookmarkStart w:id="37" w:name="_Toc86204789"/>
      <w:bookmarkStart w:id="38" w:name="_Toc86727356"/>
      <w:bookmarkStart w:id="39" w:name="_Toc108512359"/>
      <w:bookmarkStart w:id="40" w:name="_Toc86649723"/>
      <w:bookmarkStart w:id="41" w:name="_Toc118212951"/>
      <w:bookmarkStart w:id="42" w:name="_Toc84234435"/>
      <w:bookmarkStart w:id="43" w:name="_Toc84234388"/>
      <w:bookmarkStart w:id="44" w:name="_Toc110830493"/>
      <w:bookmarkStart w:id="45" w:name="_Toc89163369"/>
      <w:r>
        <w:rPr>
          <w:rFonts w:ascii="彩虹粗仿宋" w:eastAsia="彩虹粗仿宋" w:hint="eastAsia"/>
          <w:sz w:val="30"/>
        </w:rPr>
        <w:lastRenderedPageBreak/>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97F8BF9"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6D29998F"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6FF4F57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2378B88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3、基金托管人按照规定开设基金财产的资金账户、证券账户等投资所需账户。</w:t>
      </w:r>
    </w:p>
    <w:p w14:paraId="694B1F9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4、基金托管人对所托管的不同基金财产分别设置账户，分账管理，独立核算，确保基金财产的完整与独立。</w:t>
      </w:r>
    </w:p>
    <w:p w14:paraId="02074E21" w14:textId="21CA8DDE"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托管人未经基金管理人的指令，不得自行运用、处分、分配本基金的任何资产（不包含开户银行或交易/登记结算机构扣收交易费、结算费和账户维护费等费用）。</w:t>
      </w:r>
    </w:p>
    <w:p w14:paraId="6D4D07E6"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托管资金账户的，基金托管人应及时通知基金管理人采取措施进行催收。由此给基金财产造成损失的，基金管理人应负责向有关当事人追偿基金财产的损失，基金托管人对此不承担任何责任。</w:t>
      </w:r>
    </w:p>
    <w:p w14:paraId="3F35007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6F5E993C"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1B2976C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20BD8994" w14:textId="1C521405"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发起资金提供方认购金额及承诺持有期限符合《基金法》、《运作办法》等有关规定后，基金管理人应将属于基金财产的全部资金划入基金托管人开立的基金托管资金账户，同时在规定时间内，聘请符合《中华人民共和国证券法》规定的会计师事务所进行验资，出具验资报告，验资报告需对发起资金提供方及其持有份额进行专门说明。出具的验资报告由参加验资的2名或2名以上中国注册会计师签字方为有效。</w:t>
      </w:r>
    </w:p>
    <w:p w14:paraId="2253C6D6"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p>
    <w:p w14:paraId="02FFD1F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2B25C7FE"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应以基金的名义在其营业机构开立基金的托管资金账户，并根据基金管理人合法合规的指令办理资金收付。户名原则上应当包含开户主体和产品名称字样。如法律法规或监管部门另有规定的，从其规定。本基金的银行预留印鉴由基金托管人保管和使用。</w:t>
      </w:r>
    </w:p>
    <w:p w14:paraId="6376330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w:t>
      </w:r>
      <w:bookmarkStart w:id="46" w:name="OLE_LINK85"/>
      <w:bookmarkStart w:id="47" w:name="OLE_LINK86"/>
      <w:bookmarkStart w:id="48" w:name="OLE_LINK87"/>
      <w:r>
        <w:rPr>
          <w:rFonts w:ascii="彩虹粗仿宋" w:eastAsia="彩虹粗仿宋" w:hAnsi="宋体" w:cs="Arial" w:hint="eastAsia"/>
          <w:sz w:val="24"/>
        </w:rPr>
        <w:t>托管资金</w:t>
      </w:r>
      <w:bookmarkEnd w:id="46"/>
      <w:bookmarkEnd w:id="47"/>
      <w:bookmarkEnd w:id="48"/>
      <w:r>
        <w:rPr>
          <w:rFonts w:ascii="彩虹粗仿宋" w:eastAsia="彩虹粗仿宋" w:hAnsi="宋体" w:cs="Arial" w:hint="eastAsia"/>
          <w:sz w:val="24"/>
        </w:rPr>
        <w:t>账户；亦不得使用基金的任何账户进行本基金业务以外的活动。</w:t>
      </w:r>
    </w:p>
    <w:p w14:paraId="489005D5"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583C8D0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25FA23ED"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5、基金管理人应于基金终止运作后及时完成收益兑付、费用结清及其他应收应付款项资金划转，在确保后续不再发生款项进出后的10个工作日内向基金托管人发出销户申请。</w:t>
      </w:r>
    </w:p>
    <w:p w14:paraId="0840F64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（四）基金证券账户和结算备付金账户的开立和管理</w:t>
      </w:r>
    </w:p>
    <w:p w14:paraId="3F3561C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7DF4000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4B2015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0BEAE0C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证券账户开户费由基金管理人先行垫付，待本基金启始运营后，基金管理人可向基金托管人发送划款指令，将代垫开户费从本基金托管资金账户中扣还基金管理人。</w:t>
      </w:r>
    </w:p>
    <w:p w14:paraId="4CBE925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6007E6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5、账户注销时，在遵守中国证券登记结算有限责任公司的相关规定下，由基金管理人和基金托管人协商确认主要办理人。账户注销期间，主要办理人如需另一方提供配合的，另一方应予以配合。</w:t>
      </w:r>
    </w:p>
    <w:p w14:paraId="1BFDFFC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7A49236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62E0A25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5EC03E1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1019EBF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4D7D474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5A23661F"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1B11A77A" w14:textId="77777777" w:rsidR="00C55247" w:rsidRDefault="00A17ED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0F52C29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750021CC" w14:textId="320889FA"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w:t>
      </w:r>
      <w:r>
        <w:rPr>
          <w:rFonts w:ascii="彩虹粗仿宋" w:eastAsia="彩虹粗仿宋" w:hAnsi="宋体" w:cs="Arial" w:hint="eastAsia"/>
          <w:sz w:val="24"/>
        </w:rPr>
        <w:lastRenderedPageBreak/>
        <w:t>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按照法律法规的规定执行。</w:t>
      </w:r>
    </w:p>
    <w:p w14:paraId="7891AE06" w14:textId="19A764EF" w:rsidR="00BA2E23" w:rsidRDefault="00BA2E2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14:paraId="2D6B947F" w14:textId="77777777" w:rsidR="00BA2E23" w:rsidRDefault="00BA2E23">
      <w:pPr>
        <w:adjustRightInd w:val="0"/>
        <w:snapToGrid w:val="0"/>
        <w:ind w:firstLineChars="200" w:firstLine="600"/>
        <w:rPr>
          <w:rFonts w:ascii="彩虹粗仿宋" w:eastAsia="彩虹粗仿宋"/>
          <w:sz w:val="30"/>
          <w:szCs w:val="30"/>
        </w:rPr>
      </w:pPr>
    </w:p>
    <w:p w14:paraId="211D947C" w14:textId="77777777" w:rsidR="00C55247" w:rsidRDefault="00C55247">
      <w:pPr>
        <w:rPr>
          <w:rFonts w:ascii="彩虹粗仿宋" w:eastAsia="彩虹粗仿宋"/>
          <w:sz w:val="24"/>
        </w:rPr>
      </w:pPr>
    </w:p>
    <w:p w14:paraId="06D618D1" w14:textId="77777777" w:rsidR="00C55247" w:rsidRDefault="00A17ED0">
      <w:pPr>
        <w:pStyle w:val="2"/>
        <w:jc w:val="center"/>
        <w:rPr>
          <w:rFonts w:ascii="彩虹粗仿宋" w:eastAsia="彩虹粗仿宋"/>
          <w:sz w:val="30"/>
        </w:rPr>
      </w:pPr>
      <w:bookmarkStart w:id="49" w:name="_Toc120435785"/>
      <w:bookmarkStart w:id="50" w:name="_Toc86737931"/>
      <w:bookmarkStart w:id="51" w:name="_Toc110761798"/>
      <w:bookmarkStart w:id="52" w:name="_Toc86649724"/>
      <w:bookmarkStart w:id="53" w:name="_Toc110830494"/>
      <w:bookmarkStart w:id="54" w:name="_Toc108512360"/>
      <w:bookmarkStart w:id="55" w:name="_Toc86223244"/>
      <w:bookmarkStart w:id="56" w:name="_Toc84133787"/>
      <w:bookmarkStart w:id="57" w:name="_Toc118972650"/>
      <w:bookmarkStart w:id="58" w:name="_Toc110765662"/>
      <w:bookmarkStart w:id="59" w:name="_Toc124325890"/>
      <w:bookmarkStart w:id="60" w:name="_Toc118774805"/>
      <w:bookmarkStart w:id="61" w:name="_Toc118212952"/>
      <w:bookmarkStart w:id="62" w:name="_Toc86727357"/>
      <w:bookmarkStart w:id="63" w:name="_Toc84234389"/>
      <w:bookmarkStart w:id="64" w:name="_Toc84234436"/>
      <w:bookmarkStart w:id="65" w:name="_Toc86225293"/>
      <w:bookmarkStart w:id="66" w:name="_Toc86204790"/>
      <w:bookmarkStart w:id="67" w:name="_Toc89163370"/>
      <w:bookmarkStart w:id="68" w:name="_Toc86726441"/>
      <w:bookmarkStart w:id="69" w:name="_Toc119402712"/>
      <w:r>
        <w:rPr>
          <w:rFonts w:ascii="彩虹粗仿宋" w:eastAsia="彩虹粗仿宋" w:hint="eastAsia"/>
          <w:sz w:val="30"/>
        </w:rPr>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E82AD2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639262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09AE8966" w14:textId="50C6A62F"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w:t>
      </w:r>
      <w:r w:rsidR="00234CF1">
        <w:rPr>
          <w:rFonts w:ascii="彩虹粗仿宋" w:eastAsia="彩虹粗仿宋" w:hAnsi="宋体" w:cs="Arial" w:hint="eastAsia"/>
          <w:sz w:val="24"/>
        </w:rPr>
        <w:t>协议</w:t>
      </w:r>
      <w:r>
        <w:rPr>
          <w:rFonts w:ascii="彩虹粗仿宋" w:eastAsia="彩虹粗仿宋" w:hAnsi="宋体" w:cs="Arial" w:hint="eastAsia"/>
          <w:sz w:val="24"/>
        </w:rPr>
        <w:t>签署生效后，基金管理人应向基金托管人提供授权代表签字与印鉴样本通知书（以下简称“授权文件”），内容包括被授权人名单、预留印鉴及被授权人签字样本，授权文件应注明被授权人相应的权限，授权文件应加盖单位公章。</w:t>
      </w:r>
    </w:p>
    <w:p w14:paraId="07D9C3DB" w14:textId="165374E1"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将“授权文件”原件在生效前寄送基金托管人，基金托管人在收到授权文件原件并经基金管理人确认后，授权文件即生效。如果授权文件中载明具体生效时间的，该生效时间不得早于基金托管人收到授权文件并经确认的时点。如早于，则以基金托管人收到授权文件并经确认的时点为授权文件的生效时间。</w:t>
      </w:r>
    </w:p>
    <w:p w14:paraId="483B6C1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特殊情况下，经基金托管人同意，基金管理人可至少提前一个工作日将授权文件以邮件发送扫描件的方式先行通知基金托管人并确认生效。授权文件原件应在邮件发送后7个工作日内送达基金托管人。授权文件生效之后，原件送达之前，基金托管人按照新授权文件扫描件内容执行有关业务，如果授权文件原件与基金托管人收到的扫描件不同，由此产生的责任由基金管理人承担。</w:t>
      </w:r>
    </w:p>
    <w:p w14:paraId="2AADBB4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基金管理人更换被授权人、更改或终止对被授权人的授权、变更预留印鉴应按上述要求提供新的授权文件。在授权变更生效前，基金托管人仍应按原授权文件执行指令，基金管理人不得否认其效力。</w:t>
      </w:r>
    </w:p>
    <w:p w14:paraId="63D03ACF" w14:textId="69319042" w:rsidR="00C55247" w:rsidRDefault="00A17ED0" w:rsidP="00E6562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更换接收基金管理人指令的传真号或邮箱地址，应提前通知基金管理人。基金管理人和基金托管人对授权文件负有保密义务，其内容不得向被授权人及相关操作人员以外的任何人泄露，但法律法规规定或有权机关要求的除外。</w:t>
      </w:r>
    </w:p>
    <w:p w14:paraId="466D158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61DFBF5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5FBBA07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2、基金管理人发给基金托管人的指令应写明款项事由、支付时间、到账时间、金额、收付款账户等，加盖预留印鉴并由被授权人签字或盖章。</w:t>
      </w:r>
    </w:p>
    <w:p w14:paraId="3C08538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2679D29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2A8FBAB3"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66FA3D7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w:t>
      </w:r>
      <w:r>
        <w:rPr>
          <w:rFonts w:ascii="彩虹粗仿宋" w:eastAsia="彩虹粗仿宋" w:hAnsi="宋体" w:cs="Arial" w:hint="eastAsia"/>
          <w:sz w:val="24"/>
        </w:rPr>
        <w:lastRenderedPageBreak/>
        <w:t>销或更改对被授权人的授权，并且基金托管人根据本协议确认后，则对于此后该被授权人无权发送的指令，或超权限发送的指令，基金管理人不承担责任，授权已更改但未经基金托管人确认的情况除外。</w:t>
      </w:r>
    </w:p>
    <w:p w14:paraId="2913FEC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7F21F341" w14:textId="2BA28A9D"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书面通知基金托管人。</w:t>
      </w:r>
    </w:p>
    <w:p w14:paraId="547DF215"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7EBCF80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283192D"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6A69B2E1" w14:textId="77777777" w:rsidR="00C55247" w:rsidRDefault="00A17ED0">
      <w:pPr>
        <w:pStyle w:val="a6"/>
        <w:spacing w:line="240" w:lineRule="auto"/>
        <w:ind w:firstLineChars="0"/>
        <w:rPr>
          <w:rFonts w:ascii="彩虹粗仿宋" w:eastAsia="彩虹粗仿宋" w:hAnsi="宋体" w:cs="Arial"/>
          <w:szCs w:val="24"/>
          <w:shd w:val="pct15"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74005247" w14:textId="77777777" w:rsidR="00C55247" w:rsidRDefault="00A17ED0">
      <w:pPr>
        <w:pStyle w:val="a6"/>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4B61674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72C2ED0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基金托管人发现基金管理人的指令错误时，有权视情况暂缓或拒绝执行，并及时通知基金管理人改正。如需基金托管人撤销尚未执行的指令，基金管理人应出具作废指令或作废说明，并电话通知基金托管人。</w:t>
      </w:r>
    </w:p>
    <w:p w14:paraId="34414DE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48555FDE"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642DFCE9" w14:textId="019974D4"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（六）其他事项</w:t>
      </w:r>
    </w:p>
    <w:p w14:paraId="534C7533"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正确、及时执行基金管理人的有效指令对基金财产造成的损失不承担赔偿责任。</w:t>
      </w:r>
    </w:p>
    <w:p w14:paraId="3738F75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F75F8A9" w14:textId="77777777" w:rsidR="00C55247" w:rsidRDefault="00C55247">
      <w:pPr>
        <w:adjustRightInd w:val="0"/>
        <w:snapToGrid w:val="0"/>
        <w:rPr>
          <w:rFonts w:ascii="彩虹粗仿宋" w:eastAsia="彩虹粗仿宋" w:hAnsi="宋体" w:cs="Arial"/>
          <w:sz w:val="24"/>
        </w:rPr>
      </w:pPr>
    </w:p>
    <w:p w14:paraId="0BD13162" w14:textId="77777777" w:rsidR="00C55247" w:rsidRDefault="00A17ED0">
      <w:pPr>
        <w:pStyle w:val="2"/>
        <w:jc w:val="center"/>
        <w:rPr>
          <w:rFonts w:ascii="彩虹粗仿宋" w:eastAsia="彩虹粗仿宋"/>
          <w:sz w:val="30"/>
        </w:rPr>
      </w:pPr>
      <w:bookmarkStart w:id="70" w:name="_Toc84133788"/>
      <w:bookmarkStart w:id="71" w:name="_Toc120435786"/>
      <w:bookmarkStart w:id="72" w:name="_Toc86223245"/>
      <w:bookmarkStart w:id="73" w:name="_Toc86225294"/>
      <w:bookmarkStart w:id="74" w:name="_Toc118972651"/>
      <w:bookmarkStart w:id="75" w:name="_Toc86204791"/>
      <w:bookmarkStart w:id="76" w:name="_Toc118774806"/>
      <w:bookmarkStart w:id="77" w:name="_Toc108512361"/>
      <w:bookmarkStart w:id="78" w:name="_Toc86727358"/>
      <w:bookmarkStart w:id="79" w:name="_Toc110765663"/>
      <w:bookmarkStart w:id="80" w:name="_Toc119402713"/>
      <w:bookmarkStart w:id="81" w:name="_Toc86737932"/>
      <w:bookmarkStart w:id="82" w:name="_Toc118212953"/>
      <w:bookmarkStart w:id="83" w:name="_Toc84234390"/>
      <w:bookmarkStart w:id="84" w:name="_Toc86726442"/>
      <w:bookmarkStart w:id="85" w:name="_Toc110761799"/>
      <w:bookmarkStart w:id="86" w:name="_Toc86649725"/>
      <w:bookmarkStart w:id="87" w:name="_Toc84234437"/>
      <w:bookmarkStart w:id="88" w:name="_Toc124325891"/>
      <w:bookmarkStart w:id="89" w:name="_Toc110830495"/>
      <w:bookmarkStart w:id="90" w:name="_Toc89163371"/>
      <w:r>
        <w:rPr>
          <w:rFonts w:ascii="彩虹粗仿宋" w:eastAsia="彩虹粗仿宋" w:hint="eastAsia"/>
          <w:sz w:val="30"/>
        </w:rPr>
        <w:lastRenderedPageBreak/>
        <w:t>七、交易及清算交收安排</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4CFE235"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0EFBF2F8"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基金管理人、基金托管人应遵守本协议下述（一）和（二）之约定。</w:t>
      </w:r>
    </w:p>
    <w:p w14:paraId="736022BD" w14:textId="19C3DFD6"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（一）选择证券、期货、期权买卖的证券经营机构、期货经纪机构</w:t>
      </w:r>
    </w:p>
    <w:p w14:paraId="4A2197F5" w14:textId="5ED33450"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234CF1" w:rsidRPr="00234CF1">
        <w:rPr>
          <w:rFonts w:ascii="彩虹粗仿宋" w:eastAsia="彩虹粗仿宋" w:hAnsi="宋体" w:cs="Arial" w:hint="eastAsia"/>
          <w:sz w:val="24"/>
        </w:rPr>
        <w:t>交易单元租用</w:t>
      </w:r>
      <w:r>
        <w:rPr>
          <w:rFonts w:ascii="彩虹粗仿宋" w:eastAsia="彩虹粗仿宋" w:hAnsi="宋体" w:cs="Arial" w:hint="eastAsia"/>
          <w:sz w:val="24"/>
        </w:rPr>
        <w:t>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16B25526" w14:textId="77777777" w:rsidR="00C55247" w:rsidRDefault="00A17ED0">
      <w:pPr>
        <w:adjustRightInd w:val="0"/>
        <w:snapToGrid w:val="0"/>
        <w:ind w:firstLineChars="200" w:firstLine="480"/>
        <w:rPr>
          <w:rFonts w:ascii="彩虹粗仿宋" w:eastAsia="彩虹粗仿宋" w:hAnsi="宋体" w:cs="Arial"/>
          <w:sz w:val="24"/>
        </w:rPr>
      </w:pPr>
      <w:bookmarkStart w:id="91" w:name="_Hlk223206972"/>
      <w:bookmarkStart w:id="92" w:name="OLE_LINK120"/>
      <w:bookmarkStart w:id="93" w:name="OLE_LINK121"/>
      <w:r>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w:t>
      </w:r>
      <w:r>
        <w:rPr>
          <w:rFonts w:ascii="彩虹粗仿宋" w:eastAsia="彩虹粗仿宋" w:hAnsi="宋体" w:cs="Arial"/>
          <w:sz w:val="24"/>
        </w:rPr>
        <w:t>营</w:t>
      </w:r>
      <w:r>
        <w:rPr>
          <w:rFonts w:ascii="彩虹粗仿宋" w:eastAsia="彩虹粗仿宋" w:hAnsi="宋体" w:cs="Arial" w:hint="eastAsia"/>
          <w:sz w:val="24"/>
        </w:rPr>
        <w:t>机构选择的规则进行。</w:t>
      </w:r>
      <w:bookmarkEnd w:id="91"/>
      <w:bookmarkEnd w:id="92"/>
      <w:bookmarkEnd w:id="93"/>
      <w:r>
        <w:rPr>
          <w:rFonts w:ascii="彩虹粗仿宋" w:eastAsia="彩虹粗仿宋" w:hAnsi="宋体" w:cs="Arial" w:hint="eastAsia"/>
          <w:sz w:val="24"/>
        </w:rPr>
        <w:t>本基金在开始进行期货投资之前，应</w:t>
      </w:r>
      <w:bookmarkStart w:id="94" w:name="OLE_LINK117"/>
      <w:bookmarkStart w:id="95" w:name="OLE_LINK118"/>
      <w:bookmarkStart w:id="96" w:name="OLE_LINK119"/>
      <w:r>
        <w:rPr>
          <w:rFonts w:ascii="彩虹粗仿宋" w:eastAsia="彩虹粗仿宋" w:hAnsi="宋体" w:cs="Arial" w:hint="eastAsia"/>
          <w:sz w:val="24"/>
        </w:rPr>
        <w:t>与基金托管人、期货公司三方一同就期货开户、清算、估值、交收等事宜另行签署《期货投资托管操作</w:t>
      </w:r>
      <w:bookmarkEnd w:id="94"/>
      <w:bookmarkEnd w:id="95"/>
      <w:bookmarkEnd w:id="96"/>
      <w:r>
        <w:rPr>
          <w:rFonts w:ascii="彩虹粗仿宋" w:eastAsia="彩虹粗仿宋" w:hAnsi="宋体" w:cs="Arial" w:hint="eastAsia"/>
          <w:sz w:val="24"/>
        </w:rPr>
        <w:t>三方备忘录》。</w:t>
      </w:r>
    </w:p>
    <w:p w14:paraId="3269942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14:paraId="020A07E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444C183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、结算备付金与保证金</w:t>
      </w:r>
    </w:p>
    <w:p w14:paraId="364903D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2A261CF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（1）固定备付金比例计收方式下，基金管理人应在调整最低备付金、结算保证金当日上午11：00之前补足金额。</w:t>
      </w:r>
    </w:p>
    <w:p w14:paraId="1332D86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（2）差异化备付金比例计收方式下，基金管理人应最晚于资金交收日上午8：30前补足金额。</w:t>
      </w:r>
    </w:p>
    <w:p w14:paraId="742F7846"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、清算交收</w:t>
      </w:r>
    </w:p>
    <w:p w14:paraId="16E7158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A308FF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如果因为基金托管人自身过错在清算上造成基金财产的直接损失，应由基金托管人负责赔偿，但因中国人民银行、中国证券登记结算有限责任公司和银行间</w:t>
      </w:r>
      <w:r>
        <w:rPr>
          <w:rFonts w:ascii="彩虹粗仿宋" w:eastAsia="彩虹粗仿宋" w:hAnsi="宋体" w:cs="Arial" w:hint="eastAsia"/>
          <w:sz w:val="24"/>
        </w:rPr>
        <w:lastRenderedPageBreak/>
        <w:t>市场登记结算机构资金结算系统以及其他机构的结算系统发生故障等非基金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1F39860A" w14:textId="77777777" w:rsidR="00C55247" w:rsidRDefault="00A17ED0">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基金管理人应采取合理、必要措施，确保</w:t>
      </w:r>
      <w:r>
        <w:rPr>
          <w:rFonts w:ascii="彩虹粗仿宋" w:eastAsia="彩虹粗仿宋" w:hAnsi="宋体" w:cs="宋体"/>
          <w:kern w:val="0"/>
          <w:sz w:val="24"/>
        </w:rPr>
        <w:t>T日日终有足够的资金头寸完成T+1日</w:t>
      </w:r>
      <w:r>
        <w:rPr>
          <w:rFonts w:ascii="彩虹粗仿宋" w:eastAsia="彩虹粗仿宋" w:hint="eastAsia"/>
          <w:sz w:val="24"/>
        </w:rPr>
        <w:t>中国证券登记结算有限责任公司的资金</w:t>
      </w:r>
      <w:r>
        <w:rPr>
          <w:rFonts w:ascii="彩虹粗仿宋" w:eastAsia="彩虹粗仿宋" w:hAnsi="宋体" w:cs="宋体" w:hint="eastAsia"/>
          <w:kern w:val="0"/>
          <w:sz w:val="24"/>
        </w:rPr>
        <w:t>交收；如因基金管理人原因导致资金头寸不足，基金管理人应视基金托管人最低结算备付金比例计收方式分别于下列时点补足透支金额：</w:t>
      </w:r>
    </w:p>
    <w:p w14:paraId="7CD7E0BB" w14:textId="77777777" w:rsidR="00C55247" w:rsidRDefault="00A17ED0">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w:t>
      </w:r>
      <w:r>
        <w:rPr>
          <w:rFonts w:ascii="彩虹粗仿宋" w:eastAsia="彩虹粗仿宋" w:hAnsi="宋体" w:cs="宋体"/>
          <w:kern w:val="0"/>
          <w:sz w:val="24"/>
        </w:rPr>
        <w:t>1）固定备付金比例计收方式下，基金管理人应最晚于资金</w:t>
      </w:r>
      <w:r>
        <w:rPr>
          <w:rFonts w:ascii="彩虹粗仿宋" w:eastAsia="彩虹粗仿宋" w:hAnsi="宋体" w:cs="宋体" w:hint="eastAsia"/>
          <w:kern w:val="0"/>
          <w:sz w:val="24"/>
        </w:rPr>
        <w:t>交收日上午</w:t>
      </w:r>
      <w:r>
        <w:rPr>
          <w:rFonts w:ascii="彩虹粗仿宋" w:eastAsia="彩虹粗仿宋" w:hAnsi="宋体" w:cs="宋体"/>
          <w:kern w:val="0"/>
          <w:sz w:val="24"/>
        </w:rPr>
        <w:t>11：00前补足金额。</w:t>
      </w:r>
    </w:p>
    <w:p w14:paraId="740ECC1E"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宋体" w:hint="eastAsia"/>
          <w:kern w:val="0"/>
          <w:sz w:val="24"/>
        </w:rPr>
        <w:t>（</w:t>
      </w:r>
      <w:r>
        <w:rPr>
          <w:rFonts w:ascii="彩虹粗仿宋" w:eastAsia="彩虹粗仿宋" w:hAnsi="宋体" w:cs="宋体"/>
          <w:kern w:val="0"/>
          <w:sz w:val="24"/>
        </w:rPr>
        <w:t>2）差异化备付金比例计收方式下，基金管理人应最晚于资金</w:t>
      </w:r>
      <w:r>
        <w:rPr>
          <w:rFonts w:ascii="彩虹粗仿宋" w:eastAsia="彩虹粗仿宋" w:hAnsi="宋体" w:cs="宋体" w:hint="eastAsia"/>
          <w:kern w:val="0"/>
          <w:sz w:val="24"/>
        </w:rPr>
        <w:t>交收日上午</w:t>
      </w:r>
      <w:r>
        <w:rPr>
          <w:rFonts w:ascii="彩虹粗仿宋" w:eastAsia="彩虹粗仿宋" w:hAnsi="宋体" w:cs="宋体"/>
          <w:kern w:val="0"/>
          <w:sz w:val="24"/>
        </w:rPr>
        <w:t>8：30前补足金额。如果基金管理人未遵循上述规定备足资金头寸，影响基金资产的清算交收及基金托管人与中国证券登记结算有限责任公司之间的一级清算，由此给基金托管人、基金资产</w:t>
      </w:r>
      <w:r>
        <w:rPr>
          <w:rFonts w:ascii="彩虹粗仿宋" w:eastAsia="彩虹粗仿宋" w:hAnsi="宋体" w:cs="宋体" w:hint="eastAsia"/>
          <w:kern w:val="0"/>
          <w:sz w:val="24"/>
        </w:rPr>
        <w:t>及基金托管人托管的其他资产造成的直接经济损失由基金管理人负责。</w:t>
      </w:r>
    </w:p>
    <w:p w14:paraId="76B9843F"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根据中国证券登记结算有限责</w:t>
      </w:r>
      <w:r>
        <w:rPr>
          <w:rFonts w:ascii="彩虹粗仿宋" w:eastAsia="彩虹粗仿宋" w:hAnsi="宋体" w:cs="宋体" w:hint="eastAsia"/>
          <w:kern w:val="0"/>
          <w:sz w:val="24"/>
        </w:rPr>
        <w:t>任公司结算规定，基金管理人在进行融资回购业务时，用于融资回购的债券将作为偿还融资回购到期购回款的质押券。如因基金管理人自身原因造成债券回购交收违约或因折算率变化造成质押欠库，导致中国证券登记结算有限责任公司欠库扣款或对质押券进行处置造成的投资风险和损失由基金管理人承担。</w:t>
      </w:r>
    </w:p>
    <w:p w14:paraId="46134DB6"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对于中国证券登记结算有限责任公司实行</w:t>
      </w:r>
      <w:r>
        <w:rPr>
          <w:rFonts w:ascii="彩虹粗仿宋" w:eastAsia="彩虹粗仿宋" w:hAnsi="宋体" w:cs="Arial"/>
          <w:sz w:val="24"/>
        </w:rPr>
        <w:t>T+0非担保交收的业务，基金管理人应在交易日14：00前将划款指令发送至基金托管人。因基金管理人指令传输不及时，致使资金未能及时划入中国证券登记结算有限责任公司所造成的损失由基金管理人承担，包括</w:t>
      </w:r>
      <w:r>
        <w:rPr>
          <w:rFonts w:ascii="彩虹粗仿宋" w:eastAsia="彩虹粗仿宋" w:hAnsi="宋体" w:cs="Arial" w:hint="eastAsia"/>
          <w:sz w:val="24"/>
        </w:rPr>
        <w:t>但不限于</w:t>
      </w:r>
      <w:r>
        <w:rPr>
          <w:rFonts w:ascii="彩虹粗仿宋" w:eastAsia="彩虹粗仿宋" w:hAnsi="宋体" w:cs="Arial"/>
          <w:sz w:val="24"/>
        </w:rPr>
        <w:t>赔偿在该市场引起其他托管客户交易失败、赔偿因占用结算</w:t>
      </w:r>
      <w:r>
        <w:rPr>
          <w:rFonts w:ascii="彩虹粗仿宋" w:eastAsia="彩虹粗仿宋" w:hAnsi="宋体" w:cs="Arial" w:hint="eastAsia"/>
          <w:sz w:val="24"/>
        </w:rPr>
        <w:t>参与人最低备付金带来的利息损失。若沪深市场</w:t>
      </w:r>
      <w:r>
        <w:rPr>
          <w:rFonts w:ascii="彩虹粗仿宋" w:eastAsia="彩虹粗仿宋" w:hAnsi="宋体" w:cs="Arial"/>
          <w:sz w:val="24"/>
        </w:rPr>
        <w:t>T+0非担保交收规则调整，则此条款内容相应调整。</w:t>
      </w:r>
    </w:p>
    <w:p w14:paraId="6D991D73"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、交易记录、资金和证券/期货账目核对的时间和方式</w:t>
      </w:r>
    </w:p>
    <w:p w14:paraId="260BB8E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2AC1D7D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981AC4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2EBB8FA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6C824A9C"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（3）证券/期货账目的核对</w:t>
      </w:r>
    </w:p>
    <w:p w14:paraId="5D75402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基金管理人和基金托管人每个交易日结束后核对基金证券/期货账目，确保双方账目相符。</w:t>
      </w:r>
    </w:p>
    <w:p w14:paraId="762BE1C6" w14:textId="77777777" w:rsidR="00C55247" w:rsidRDefault="00A17E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0C816A8F"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1、基金份额申购、赎回的确认、清算由基金管理人或其委托的登记机构负责。</w:t>
      </w:r>
    </w:p>
    <w:p w14:paraId="5BE1ACB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BABCE3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0913A0E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51106DF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7E56C74F"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62291F3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5E9EF152" w14:textId="4FC5316A"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r w:rsidR="003E604B">
        <w:rPr>
          <w:rFonts w:ascii="彩虹粗仿宋" w:eastAsia="彩虹粗仿宋" w:hAnsi="宋体" w:cs="Arial" w:hint="eastAsia"/>
          <w:sz w:val="24"/>
        </w:rPr>
        <w:t>，基金托管人应给予必要的协助与配合</w:t>
      </w:r>
      <w:r>
        <w:rPr>
          <w:rFonts w:ascii="彩虹粗仿宋" w:eastAsia="彩虹粗仿宋" w:hAnsi="宋体" w:cs="Arial" w:hint="eastAsia"/>
          <w:sz w:val="24"/>
        </w:rPr>
        <w:t>。</w:t>
      </w:r>
    </w:p>
    <w:p w14:paraId="129CB20E"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w:t>
      </w:r>
      <w:bookmarkStart w:id="97" w:name="OLE_LINK101"/>
      <w:bookmarkStart w:id="98" w:name="OLE_LINK102"/>
      <w:bookmarkStart w:id="99" w:name="OLE_LINK103"/>
      <w:r>
        <w:rPr>
          <w:rFonts w:ascii="彩虹粗仿宋" w:eastAsia="彩虹粗仿宋" w:hAnsi="宋体" w:cs="Arial" w:hint="eastAsia"/>
          <w:sz w:val="24"/>
        </w:rPr>
        <w:t>回和分红资金划拨规</w:t>
      </w:r>
      <w:bookmarkEnd w:id="97"/>
      <w:bookmarkEnd w:id="98"/>
      <w:bookmarkEnd w:id="99"/>
      <w:r>
        <w:rPr>
          <w:rFonts w:ascii="彩虹粗仿宋" w:eastAsia="彩虹粗仿宋" w:hAnsi="宋体" w:cs="Arial" w:hint="eastAsia"/>
          <w:sz w:val="24"/>
        </w:rPr>
        <w:t>定</w:t>
      </w:r>
    </w:p>
    <w:p w14:paraId="20677FB5" w14:textId="14306501"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拨付赎回款或进行基金分红时，如基金托管资金账户有足够的资金，基金托管人应按时拨付；因基金托管资金账户没有足够的资金，导致基金托管人不能按时拨付，</w:t>
      </w:r>
      <w:r w:rsidR="003E604B" w:rsidRPr="00A52FBE">
        <w:rPr>
          <w:rFonts w:ascii="彩虹粗仿宋" w:eastAsia="彩虹粗仿宋" w:hAnsi="宋体" w:cs="Arial" w:hint="eastAsia"/>
          <w:sz w:val="24"/>
        </w:rPr>
        <w:t>基金托管人应及时通知基金管理人，</w:t>
      </w:r>
      <w:r>
        <w:rPr>
          <w:rFonts w:ascii="彩虹粗仿宋" w:eastAsia="彩虹粗仿宋" w:hAnsi="宋体" w:cs="Arial" w:hint="eastAsia"/>
          <w:sz w:val="24"/>
        </w:rPr>
        <w:t>如系基金管理人的原因造成，责任由基金管理人承担，基金托管人不承担垫款义务。</w:t>
      </w:r>
    </w:p>
    <w:p w14:paraId="3D9AF435"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7C976A98"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57E14526"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7826AD6D"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7ED81AA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-1日将划款指令发送给基金托管人，基金托管人按基金管理人的划款指令将托管资金账户净应付额在T日12:00之前划往基金清算账户。</w:t>
      </w:r>
    </w:p>
    <w:p w14:paraId="43830315" w14:textId="77777777" w:rsidR="00C55247" w:rsidRDefault="00A17E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14:paraId="141A2010" w14:textId="28A0B136"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1、在本基金开展转换业务之前，基金管理人应函告基金托管人并就相关事宜进行协商。</w:t>
      </w:r>
    </w:p>
    <w:p w14:paraId="494CBAB6" w14:textId="77777777" w:rsidR="00C55247" w:rsidRDefault="00A17E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w:t>
      </w:r>
      <w:r>
        <w:rPr>
          <w:rFonts w:ascii="彩虹粗仿宋" w:eastAsia="彩虹粗仿宋" w:hAnsi="宋体" w:cs="Arial" w:hint="eastAsia"/>
          <w:sz w:val="24"/>
        </w:rPr>
        <w:lastRenderedPageBreak/>
        <w:t>的公告执行。</w:t>
      </w:r>
    </w:p>
    <w:p w14:paraId="1FA3BB1A" w14:textId="77777777" w:rsidR="00C55247" w:rsidRDefault="00A17E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674D85E5" w14:textId="77777777" w:rsidR="00C55247" w:rsidRDefault="00A17E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14:paraId="24169DE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1、基金管理人确定分红方案通知基金托管人，双方核定后在2日内</w:t>
      </w:r>
      <w:r>
        <w:rPr>
          <w:rFonts w:ascii="彩虹粗仿宋" w:eastAsia="彩虹粗仿宋" w:hint="eastAsia"/>
          <w:sz w:val="24"/>
          <w:szCs w:val="18"/>
        </w:rPr>
        <w:t>在中国证监会规定媒介上公告</w:t>
      </w:r>
      <w:r>
        <w:rPr>
          <w:rFonts w:ascii="彩虹粗仿宋" w:eastAsia="彩虹粗仿宋" w:hAnsi="宋体" w:cs="Arial" w:hint="eastAsia"/>
          <w:sz w:val="24"/>
        </w:rPr>
        <w:t>。</w:t>
      </w:r>
    </w:p>
    <w:p w14:paraId="12B4562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2、基金托管人和基金管理人对基金分红进行账务处理并核对后，基金管理人向基金托管人发送现金红利的划款指令，基金托管人应及时将资金划入清算专用账户。</w:t>
      </w:r>
    </w:p>
    <w:p w14:paraId="2B58CDBD"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08D98369"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1B930C05"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7340CA1F"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（1）存款账户必须以本基金名义开立，并将基金托管人为本基金开立的基金托管资金账户指定为唯一回款账户，任何情况下，存款银行都不得将存款投资本息划往任何其他账户。</w:t>
      </w:r>
    </w:p>
    <w:p w14:paraId="1796EAD8"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3BC2362"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33A621F2"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0771155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184D391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以书面或其他双方认可的方式通知基金托管人，以便基金托管人有足够的时间履行相应的业务操作程序。因发生逾期支取、提前支取或部分提前支取，基金托管人不承担相应利息损失及逾期支取手续费。</w:t>
      </w:r>
    </w:p>
    <w:p w14:paraId="6594434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03E5FAC6" w14:textId="77777777" w:rsidR="00C55247" w:rsidRDefault="00C55247">
      <w:pPr>
        <w:adjustRightInd w:val="0"/>
        <w:snapToGrid w:val="0"/>
        <w:ind w:firstLineChars="200" w:firstLine="480"/>
        <w:rPr>
          <w:rFonts w:ascii="彩虹粗仿宋" w:eastAsia="彩虹粗仿宋" w:hAnsi="宋体" w:cs="Arial"/>
          <w:sz w:val="24"/>
        </w:rPr>
      </w:pPr>
    </w:p>
    <w:p w14:paraId="28D23AB3" w14:textId="77777777" w:rsidR="00C55247" w:rsidRDefault="00A17ED0">
      <w:pPr>
        <w:pStyle w:val="2"/>
        <w:jc w:val="center"/>
        <w:rPr>
          <w:rFonts w:ascii="彩虹粗仿宋" w:eastAsia="彩虹粗仿宋"/>
          <w:sz w:val="30"/>
        </w:rPr>
      </w:pPr>
      <w:bookmarkStart w:id="100" w:name="_Toc124325892"/>
      <w:r>
        <w:rPr>
          <w:rFonts w:ascii="彩虹粗仿宋" w:eastAsia="彩虹粗仿宋" w:hint="eastAsia"/>
          <w:sz w:val="30"/>
        </w:rPr>
        <w:lastRenderedPageBreak/>
        <w:t>八、基金资产净值计算和会计核算</w:t>
      </w:r>
      <w:bookmarkEnd w:id="100"/>
    </w:p>
    <w:p w14:paraId="2422A46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600A69F8" w14:textId="7723AD1F"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任一类基金份额净值是按照每个估值日闭市后，该类基金份额的基金资产净值除以当日该类基金份额的余额数量计算，精确到0.0001元，小数点后第5位四舍五入。基金管理人可以设立大额赎回情形下的净值精度应急调整机制。国家另有规定的，从其规定。</w:t>
      </w:r>
    </w:p>
    <w:p w14:paraId="0A904BC7" w14:textId="2EB582BD"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基金管理人于每个估值日计算基金资产净值及各类基金份额净值，并按规定公告。</w:t>
      </w:r>
    </w:p>
    <w:p w14:paraId="5CB7CE5C" w14:textId="707AA21B"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管理人应每个估值日对基金资产估值，但基金管理人根据法律法规或基金合同的规定暂停估值时除外。基金管理人每个估值日对基金资产估值后，将基金资产净值和各类别基金份额净值结果发送基金托管人，经基金托管人复核无误后，由基金管理人按约定对外公布。</w:t>
      </w:r>
    </w:p>
    <w:p w14:paraId="12747AB0" w14:textId="77777777" w:rsidR="00C55247" w:rsidRDefault="00A17ED0">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19936E8F" w14:textId="77777777" w:rsidR="00C55247" w:rsidRDefault="00A17ED0">
      <w:pPr>
        <w:adjustRightInd w:val="0"/>
        <w:snapToGrid w:val="0"/>
        <w:ind w:firstLineChars="200" w:firstLine="480"/>
        <w:rPr>
          <w:rFonts w:ascii="彩虹粗仿宋" w:eastAsia="彩虹粗仿宋" w:hAnsi="宋体" w:cs="Arial"/>
          <w:sz w:val="24"/>
        </w:rPr>
      </w:pPr>
      <w:bookmarkStart w:id="101" w:name="_Hlk223207323"/>
      <w:bookmarkStart w:id="102" w:name="OLE_LINK130"/>
      <w:bookmarkStart w:id="103" w:name="OLE_LINK131"/>
      <w:r>
        <w:rPr>
          <w:rFonts w:ascii="彩虹粗仿宋" w:eastAsia="彩虹粗仿宋" w:hAnsi="宋体" w:cs="Arial" w:hint="eastAsia"/>
          <w:sz w:val="24"/>
        </w:rPr>
        <w:t>1、估值对象</w:t>
      </w:r>
    </w:p>
    <w:p w14:paraId="3C61EF03" w14:textId="2BA9E1D1"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基金所拥有的目标ETF基金份额、股票、债券、资产支持证券、银行存款本息、应收款项、股指期货合约、国债期货合约、股票期权合约、其他投资等资产及负债。</w:t>
      </w:r>
    </w:p>
    <w:p w14:paraId="0612E5C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2D6303A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（1）目标ETF的估值</w:t>
      </w:r>
    </w:p>
    <w:p w14:paraId="4A8FF063"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本基金持有的目标ETF基金份额按估值日目标ETF的基金份额净值估值。如该日目标ETF未公布净值，则按该日目标ETF最近公布的净值估值。</w:t>
      </w:r>
    </w:p>
    <w:p w14:paraId="0F05F43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（2）证券交易所上市的有价证券的估值</w:t>
      </w:r>
    </w:p>
    <w:p w14:paraId="7275905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32EDDE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2）交易所上市不存在活跃市场的有价证券，采用估值技术确定公允价值。</w:t>
      </w:r>
    </w:p>
    <w:p w14:paraId="5802C1D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（3）处于未上市期间及流通受限的有价证券应区分如下情况处理：</w:t>
      </w:r>
    </w:p>
    <w:p w14:paraId="7CD39C1D"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5D18EF28"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2）首次公开发行未上市的股票，采用估值技术确定公允价值。</w:t>
      </w:r>
    </w:p>
    <w:p w14:paraId="209BBDA8"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1C78DA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（4）对于已上市或已挂牌转让的不含权固定收益品种（另有规定的除外），选取估值日第三方估值基准服务机构提供的相应品种当日的估值全价进行估值。</w:t>
      </w:r>
    </w:p>
    <w:p w14:paraId="2F912AC9"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（5）对于已上市或已挂牌转让的含权固定收益品种（另有规定的除外），选取估值日第三方估值基准服务机构提供的相应品种当日的唯一估值全价或推荐估值全价进行估值。</w:t>
      </w:r>
    </w:p>
    <w:p w14:paraId="6F233DEE"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对于含投资人回售权的固定收益品种，行使回售权的，在回售登记日至实际</w:t>
      </w:r>
      <w:r>
        <w:rPr>
          <w:rFonts w:ascii="彩虹粗仿宋" w:eastAsia="彩虹粗仿宋" w:hAnsi="宋体" w:cs="Arial" w:hint="eastAsia"/>
          <w:sz w:val="24"/>
        </w:rPr>
        <w:lastRenderedPageBreak/>
        <w:t>收款日期间选取第三方估值基准服务机构提供的相应品种的唯一估值全价或推荐估值全价估值，同时应充分考虑发行人的信用风险变化对公允价值的影响。回售登记期截止日（含当日）后未行使回售权的按照长待偿期所对应的价格进行估值。</w:t>
      </w:r>
    </w:p>
    <w:p w14:paraId="360BB64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A5D253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（7）对于未上市或未挂牌转让且不存在活跃市场的固定收益品种，采用在当前情况下适用并且有足够可利用数据和其他信息支持的估值技术确定其公允价值。</w:t>
      </w:r>
    </w:p>
    <w:p w14:paraId="70C285A6" w14:textId="0CAA4E90" w:rsidR="005F594B" w:rsidRDefault="005F594B" w:rsidP="005F594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w:t>
      </w:r>
      <w:r w:rsidRPr="005F594B">
        <w:rPr>
          <w:rFonts w:ascii="彩虹粗仿宋" w:eastAsia="彩虹粗仿宋" w:hAnsi="宋体" w:cs="Arial"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268FA14" w14:textId="0804145D"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4E6EDF">
        <w:rPr>
          <w:rFonts w:ascii="彩虹粗仿宋" w:eastAsia="彩虹粗仿宋" w:hAnsi="宋体" w:cs="Arial" w:hint="eastAsia"/>
          <w:sz w:val="24"/>
        </w:rPr>
        <w:t>9</w:t>
      </w:r>
      <w:r>
        <w:rPr>
          <w:rFonts w:ascii="彩虹粗仿宋" w:eastAsia="彩虹粗仿宋" w:hAnsi="宋体" w:cs="Arial" w:hint="eastAsia"/>
          <w:sz w:val="24"/>
        </w:rPr>
        <w:t>）同一证券同时在两个或两个以上市场交易的，按证券所处的市场分别估值。</w:t>
      </w:r>
    </w:p>
    <w:p w14:paraId="704EC879" w14:textId="1F8DE77D"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4E6EDF">
        <w:rPr>
          <w:rFonts w:ascii="彩虹粗仿宋" w:eastAsia="彩虹粗仿宋" w:hAnsi="宋体" w:cs="Arial" w:hint="eastAsia"/>
          <w:sz w:val="24"/>
        </w:rPr>
        <w:t>10</w:t>
      </w:r>
      <w:r>
        <w:rPr>
          <w:rFonts w:ascii="彩虹粗仿宋" w:eastAsia="彩虹粗仿宋" w:hAnsi="宋体" w:cs="Arial" w:hint="eastAsia"/>
          <w:sz w:val="24"/>
        </w:rPr>
        <w:t>）持有的银行定期存款或通知存款以本金列示，按协议或合同利率逐日确认利息收入。</w:t>
      </w:r>
    </w:p>
    <w:p w14:paraId="23E2F95D" w14:textId="554D0AC0"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1</w:t>
      </w:r>
      <w:r>
        <w:rPr>
          <w:rFonts w:ascii="彩虹粗仿宋" w:eastAsia="彩虹粗仿宋" w:hAnsi="宋体" w:cs="Arial" w:hint="eastAsia"/>
          <w:sz w:val="24"/>
        </w:rPr>
        <w:t>）本基金投资股指期货合约和国债期货合约，一般以估值当日结算价进行估值，估值当日无结算价的，且最近交易日后经济环境未发生重大变化的，采用最近交易日结算价估值。国家有最新规定的，按其规定进行估值。</w:t>
      </w:r>
    </w:p>
    <w:p w14:paraId="55853A5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2</w:t>
      </w:r>
      <w:r>
        <w:rPr>
          <w:rFonts w:ascii="彩虹粗仿宋" w:eastAsia="彩虹粗仿宋" w:hAnsi="宋体" w:cs="Arial" w:hint="eastAsia"/>
          <w:sz w:val="24"/>
        </w:rPr>
        <w:t>）本基金投资股票期权合约，根据相关法律法规以及监管部门的规定估值。</w:t>
      </w:r>
    </w:p>
    <w:p w14:paraId="731C792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3</w:t>
      </w:r>
      <w:r>
        <w:rPr>
          <w:rFonts w:ascii="彩虹粗仿宋" w:eastAsia="彩虹粗仿宋" w:hAnsi="宋体" w:cs="Arial" w:hint="eastAsia"/>
          <w:sz w:val="24"/>
        </w:rPr>
        <w:t>）本基金参与融资和转融通证券出借业务的，按照相关法律法规和行业协会的相关规定进行估值。</w:t>
      </w:r>
    </w:p>
    <w:p w14:paraId="266144BC"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4</w:t>
      </w:r>
      <w:r>
        <w:rPr>
          <w:rFonts w:ascii="彩虹粗仿宋" w:eastAsia="彩虹粗仿宋" w:hAnsi="宋体" w:cs="Arial" w:hint="eastAsia"/>
          <w:sz w:val="24"/>
        </w:rPr>
        <w:t>）本基金投资存托凭证的估值核算依照境内上市交易的股票执行，国家有最新规定的，按其规定进行估值。</w:t>
      </w:r>
    </w:p>
    <w:p w14:paraId="7C96992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5</w:t>
      </w:r>
      <w:r>
        <w:rPr>
          <w:rFonts w:ascii="彩虹粗仿宋" w:eastAsia="彩虹粗仿宋" w:hAnsi="宋体" w:cs="Arial" w:hint="eastAsia"/>
          <w:sz w:val="24"/>
        </w:rPr>
        <w:t>）当发生大额申购或赎回情形时，基金管理人可以采用摆动定价机制，以确保基金估值的公平性。具体处理原则与操作规范遵循相关法律法规以及监管部门、自律规则的规定。</w:t>
      </w:r>
    </w:p>
    <w:p w14:paraId="6A3F1CCE" w14:textId="252906D1" w:rsidR="00C55247" w:rsidRDefault="00A17ED0" w:rsidP="00B30B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6</w:t>
      </w:r>
      <w:r>
        <w:rPr>
          <w:rFonts w:ascii="彩虹粗仿宋" w:eastAsia="彩虹粗仿宋" w:hAnsi="宋体" w:cs="Arial" w:hint="eastAsia"/>
          <w:sz w:val="24"/>
        </w:rPr>
        <w:t>）本基金可以采用第三方估值机构按照上述公允价值确定原则提供的估值价格数据。如有确凿证据表明按上述方法进行估值不能客观反映其公允价值的，基金管理人可根据具体情况与基金托管人商定后，按最能反映公允价值的价格估值。</w:t>
      </w:r>
    </w:p>
    <w:p w14:paraId="1EBE13C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使用模型估值的，应当审慎确定模型参数，不得随意调整。</w:t>
      </w:r>
    </w:p>
    <w:p w14:paraId="7372DF8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仅依赖基金管理人所提供数据（包括不限于基金管理人自建模型定价）且无法从其他渠道获取可靠数据进行会计核算的投资品种，基金管理人应对该估值数据的真实性、准确性、完整性、合规性负责，因上述估值数据错误导致估值结果的不真实、不准确、不完整、不合规，基金托管人不承担任何责任。</w:t>
      </w:r>
    </w:p>
    <w:p w14:paraId="124103D9" w14:textId="7A737C5B"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sidR="00B30BF2">
        <w:rPr>
          <w:rFonts w:ascii="彩虹粗仿宋" w:eastAsia="彩虹粗仿宋" w:hAnsi="宋体" w:cs="Arial"/>
          <w:sz w:val="24"/>
        </w:rPr>
        <w:t>7</w:t>
      </w:r>
      <w:r>
        <w:rPr>
          <w:rFonts w:ascii="彩虹粗仿宋" w:eastAsia="彩虹粗仿宋" w:hAnsi="宋体" w:cs="Arial" w:hint="eastAsia"/>
          <w:sz w:val="24"/>
        </w:rPr>
        <w:t>）相关法律法规以及监管部门有强制规定的，从其规定。如有新增事项，按国家最新规定估值。</w:t>
      </w:r>
    </w:p>
    <w:p w14:paraId="633D5CB8"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8883483" w14:textId="148C0B44"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w:t>
      </w:r>
      <w:r>
        <w:rPr>
          <w:rFonts w:ascii="彩虹粗仿宋" w:eastAsia="彩虹粗仿宋" w:hAnsi="宋体" w:cs="Arial" w:hint="eastAsia"/>
          <w:sz w:val="24"/>
        </w:rPr>
        <w:lastRenderedPageBreak/>
        <w:t>承担。本基金的基金会计责任方由基金管理人担任，因此，就与本基金有关的会计问题，如经相关各方在平等基础上充分讨论后，仍无法达成一致的意见</w:t>
      </w:r>
      <w:r w:rsidR="00960DA1" w:rsidRPr="00960DA1">
        <w:rPr>
          <w:rFonts w:ascii="彩虹粗仿宋" w:eastAsia="彩虹粗仿宋" w:hAnsi="宋体" w:cs="Arial" w:hint="eastAsia"/>
          <w:sz w:val="24"/>
        </w:rPr>
        <w:t>，基金管理人向基金托管人出具盖章的书面说明后</w:t>
      </w:r>
      <w:r>
        <w:rPr>
          <w:rFonts w:ascii="彩虹粗仿宋" w:eastAsia="彩虹粗仿宋" w:hAnsi="宋体" w:cs="Arial" w:hint="eastAsia"/>
          <w:sz w:val="24"/>
        </w:rPr>
        <w:t>，按照基金管理人对基金净值信息的计算结果对外予以公布。</w:t>
      </w:r>
    </w:p>
    <w:bookmarkEnd w:id="101"/>
    <w:bookmarkEnd w:id="102"/>
    <w:bookmarkEnd w:id="103"/>
    <w:p w14:paraId="0716683D" w14:textId="77777777" w:rsidR="00C55247" w:rsidRDefault="00A17ED0">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5F801C06" w14:textId="5E1F041C" w:rsidR="00C55247" w:rsidRDefault="00A17ED0">
      <w:pPr>
        <w:adjustRightInd w:val="0"/>
        <w:snapToGrid w:val="0"/>
        <w:ind w:firstLineChars="200" w:firstLine="480"/>
        <w:rPr>
          <w:rStyle w:val="read"/>
          <w:rFonts w:ascii="彩虹粗仿宋" w:eastAsia="彩虹粗仿宋" w:hAnsi="宋体" w:cs="Arial"/>
          <w:sz w:val="24"/>
        </w:rPr>
      </w:pPr>
      <w:r>
        <w:rPr>
          <w:rStyle w:val="read"/>
          <w:rFonts w:ascii="彩虹粗仿宋" w:eastAsia="彩虹粗仿宋" w:hAnsi="宋体" w:cs="Arial" w:hint="eastAsia"/>
          <w:sz w:val="24"/>
        </w:rPr>
        <w:t>（1）基金管理人或基金托管人按上述第（</w:t>
      </w:r>
      <w:r>
        <w:rPr>
          <w:rStyle w:val="read"/>
          <w:rFonts w:ascii="彩虹粗仿宋" w:eastAsia="彩虹粗仿宋" w:hAnsi="宋体" w:cs="Arial"/>
          <w:sz w:val="24"/>
        </w:rPr>
        <w:t>1</w:t>
      </w:r>
      <w:r w:rsidR="00B30BF2">
        <w:rPr>
          <w:rStyle w:val="read"/>
          <w:rFonts w:ascii="彩虹粗仿宋" w:eastAsia="彩虹粗仿宋" w:hAnsi="宋体" w:cs="Arial"/>
          <w:sz w:val="24"/>
        </w:rPr>
        <w:t>6</w:t>
      </w:r>
      <w:r>
        <w:rPr>
          <w:rStyle w:val="read"/>
          <w:rFonts w:ascii="彩虹粗仿宋" w:eastAsia="彩虹粗仿宋" w:hAnsi="宋体" w:cs="Arial" w:hint="eastAsia"/>
          <w:sz w:val="24"/>
        </w:rPr>
        <w:t>）项进行估值时，所造成的误差不作为基金资产估值错误处理。</w:t>
      </w:r>
    </w:p>
    <w:p w14:paraId="173BE9C5" w14:textId="77777777" w:rsidR="00C55247" w:rsidRDefault="00A17ED0">
      <w:pPr>
        <w:adjustRightInd w:val="0"/>
        <w:snapToGrid w:val="0"/>
        <w:ind w:firstLineChars="200" w:firstLine="480"/>
        <w:rPr>
          <w:rStyle w:val="read"/>
          <w:rFonts w:ascii="彩虹粗仿宋" w:eastAsia="彩虹粗仿宋" w:hAnsi="宋体" w:cs="Arial"/>
          <w:sz w:val="24"/>
        </w:rPr>
      </w:pPr>
      <w:r>
        <w:rPr>
          <w:rStyle w:val="read"/>
          <w:rFonts w:ascii="彩虹粗仿宋" w:eastAsia="彩虹粗仿宋" w:hAnsi="宋体" w:cs="Arial" w:hint="eastAsia"/>
          <w:sz w:val="24"/>
        </w:rPr>
        <w:t>（2）由于不</w:t>
      </w:r>
      <w:bookmarkStart w:id="104" w:name="OLE_LINK135"/>
      <w:bookmarkStart w:id="105" w:name="OLE_LINK136"/>
      <w:r>
        <w:rPr>
          <w:rStyle w:val="read"/>
          <w:rFonts w:ascii="彩虹粗仿宋" w:eastAsia="彩虹粗仿宋" w:hAnsi="宋体" w:cs="Arial" w:hint="eastAsia"/>
          <w:sz w:val="24"/>
        </w:rPr>
        <w:t>可抗力原因，或证券/期货交易所、证券/期货公司、登记机构、指数编制机构、存款银行、估值基准服务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w:t>
      </w:r>
      <w:bookmarkEnd w:id="104"/>
      <w:bookmarkEnd w:id="105"/>
      <w:r>
        <w:rPr>
          <w:rStyle w:val="read"/>
          <w:rFonts w:ascii="彩虹粗仿宋" w:eastAsia="彩虹粗仿宋" w:hAnsi="宋体" w:cs="Arial" w:hint="eastAsia"/>
          <w:sz w:val="24"/>
        </w:rPr>
        <w:t>轻或消除由此造成的影响。</w:t>
      </w:r>
    </w:p>
    <w:p w14:paraId="63891FF2" w14:textId="77777777" w:rsidR="00C55247" w:rsidRDefault="00A17ED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1E9B6F38" w14:textId="77777777" w:rsidR="00C55247" w:rsidRDefault="00A17ED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基金份额净值小数点后4位以内（含第4位）发生估值错误时，视为该类基金份额净值错误；某一类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4C06704A" w14:textId="77777777" w:rsidR="00C55247" w:rsidRDefault="00A17ED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2E0EA286" w14:textId="77777777" w:rsidR="00C55247" w:rsidRDefault="00A17ED0">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027DA7C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99A408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w:t>
      </w:r>
      <w:r>
        <w:rPr>
          <w:rFonts w:ascii="彩虹粗仿宋" w:eastAsia="彩虹粗仿宋" w:hint="eastAsia"/>
          <w:kern w:val="0"/>
          <w:sz w:val="24"/>
        </w:rPr>
        <w:t>各类</w:t>
      </w:r>
      <w:r>
        <w:rPr>
          <w:rFonts w:ascii="彩虹粗仿宋" w:eastAsia="彩虹粗仿宋" w:hAnsi="宋体" w:cs="Arial" w:hint="eastAsia"/>
          <w:sz w:val="24"/>
        </w:rPr>
        <w:t>基金份额净值的计算结果，虽然多次重新计算和核对，尚不能达成一致时，为避免不能按时公布</w:t>
      </w:r>
      <w:r>
        <w:rPr>
          <w:rFonts w:ascii="彩虹粗仿宋" w:eastAsia="彩虹粗仿宋" w:hint="eastAsia"/>
          <w:kern w:val="0"/>
          <w:sz w:val="24"/>
        </w:rPr>
        <w:t>各类</w:t>
      </w:r>
      <w:r>
        <w:rPr>
          <w:rFonts w:ascii="彩虹粗仿宋" w:eastAsia="彩虹粗仿宋" w:hAnsi="宋体" w:cs="Arial" w:hint="eastAsia"/>
          <w:sz w:val="24"/>
        </w:rPr>
        <w:t>基金份额净值的情形，以基金管理人的计算结果对外公布，由此给基金份额持有人和基金造成的损失，由基金管理人负责赔付。</w:t>
      </w:r>
    </w:p>
    <w:p w14:paraId="1DA96C1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42B55A5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、基金管理人和基金托管人由于各自技术系统设置而产生的净值计算尾差，以基金管理人计算结果为准。</w:t>
      </w:r>
    </w:p>
    <w:p w14:paraId="42570A74" w14:textId="102A6862" w:rsidR="00C55247" w:rsidRDefault="00A17ED0" w:rsidP="0075777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14:paraId="2038D7FD" w14:textId="77777777" w:rsidR="00C55247" w:rsidRDefault="00A17ED0">
      <w:pPr>
        <w:adjustRightInd w:val="0"/>
        <w:snapToGrid w:val="0"/>
        <w:ind w:firstLineChars="200" w:firstLine="480"/>
        <w:outlineLvl w:val="0"/>
        <w:rPr>
          <w:rFonts w:ascii="彩虹粗仿宋" w:eastAsia="彩虹粗仿宋" w:hAnsi="宋体" w:cs="Arial"/>
          <w:sz w:val="24"/>
        </w:rPr>
      </w:pPr>
      <w:bookmarkStart w:id="106" w:name="OLE_LINK2"/>
      <w:bookmarkStart w:id="107" w:name="OLE_LINK3"/>
      <w:bookmarkStart w:id="108" w:name="OLE_LINK4"/>
      <w:r>
        <w:rPr>
          <w:rFonts w:ascii="彩虹粗仿宋" w:eastAsia="彩虹粗仿宋" w:hAnsi="宋体" w:cs="Arial" w:hint="eastAsia"/>
          <w:sz w:val="24"/>
        </w:rPr>
        <w:lastRenderedPageBreak/>
        <w:t>（四）暂停估值的情形</w:t>
      </w:r>
    </w:p>
    <w:p w14:paraId="3FC2C234"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基金投</w:t>
      </w:r>
      <w:bookmarkStart w:id="109" w:name="OLE_LINK5"/>
      <w:bookmarkStart w:id="110" w:name="OLE_LINK6"/>
      <w:r>
        <w:rPr>
          <w:rFonts w:ascii="彩虹粗仿宋" w:eastAsia="彩虹粗仿宋" w:hAnsi="宋体" w:cs="Arial"/>
          <w:sz w:val="24"/>
        </w:rPr>
        <w:t>资所涉及的证券/期货交易市场遇</w:t>
      </w:r>
      <w:bookmarkEnd w:id="109"/>
      <w:bookmarkEnd w:id="110"/>
      <w:r>
        <w:rPr>
          <w:rFonts w:ascii="彩虹粗仿宋" w:eastAsia="彩虹粗仿宋" w:hAnsi="宋体" w:cs="Arial"/>
          <w:sz w:val="24"/>
        </w:rPr>
        <w:t>法定节假日或因其他原因暂停营业时；</w:t>
      </w:r>
    </w:p>
    <w:p w14:paraId="2DA10EB2"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因不可抗力或其他情形致使基金管理人、基金托管人无法准确评估基金资产价值时；</w:t>
      </w:r>
    </w:p>
    <w:p w14:paraId="16BD9949"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当特定资产占前一估值日基金资产净值50%以上的，经与基金托管人协商确认后，基金管理人应当暂停估值；</w:t>
      </w:r>
    </w:p>
    <w:p w14:paraId="45F3248F" w14:textId="77777777" w:rsidR="00757772" w:rsidRDefault="00A17ED0" w:rsidP="0075777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757772" w:rsidRPr="00D13860">
        <w:rPr>
          <w:rFonts w:ascii="彩虹粗仿宋" w:eastAsia="彩虹粗仿宋" w:hAnsi="宋体" w:cs="Arial" w:hint="eastAsia"/>
          <w:sz w:val="24"/>
        </w:rPr>
        <w:t>基金所投资的目标ETF发生暂停估值、暂停公告基金份额净值的情形；</w:t>
      </w:r>
    </w:p>
    <w:p w14:paraId="02AE381A" w14:textId="568D2717" w:rsidR="00C55247" w:rsidRDefault="0075777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w:t>
      </w:r>
      <w:r w:rsidR="00A17ED0">
        <w:rPr>
          <w:rFonts w:ascii="彩虹粗仿宋" w:eastAsia="彩虹粗仿宋" w:hAnsi="宋体" w:cs="Arial"/>
          <w:sz w:val="24"/>
        </w:rPr>
        <w:t>法律法规、中国证监会和基金合同认定的其他情形。</w:t>
      </w:r>
    </w:p>
    <w:bookmarkEnd w:id="106"/>
    <w:bookmarkEnd w:id="107"/>
    <w:bookmarkEnd w:id="108"/>
    <w:p w14:paraId="70AAE1DC"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（五）实施侧袋机制期间的基金资产估值</w:t>
      </w:r>
    </w:p>
    <w:p w14:paraId="66A79967"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14:paraId="46B4E526"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（六）基金会计制度</w:t>
      </w:r>
    </w:p>
    <w:p w14:paraId="24C7CFC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2079D6A3"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（七）基金账册的建立</w:t>
      </w:r>
    </w:p>
    <w:p w14:paraId="7D2BF58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1A77B688"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w:t>
      </w:r>
      <w:bookmarkStart w:id="111" w:name="OLE_LINK9"/>
      <w:bookmarkStart w:id="112" w:name="OLE_LINK10"/>
      <w:bookmarkStart w:id="113" w:name="OLE_LINK11"/>
      <w:r>
        <w:rPr>
          <w:rFonts w:ascii="彩虹粗仿宋" w:eastAsia="彩虹粗仿宋" w:hAnsi="宋体" w:cs="Arial" w:hint="eastAsia"/>
          <w:sz w:val="24"/>
        </w:rPr>
        <w:t>金财务报表与报告的编制和复核</w:t>
      </w:r>
    </w:p>
    <w:p w14:paraId="7DA23B9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bookmarkEnd w:id="111"/>
    <w:bookmarkEnd w:id="112"/>
    <w:bookmarkEnd w:id="113"/>
    <w:p w14:paraId="53D44AC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124555C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08F8E14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4EE731C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166DF9C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141460F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符合《中华人民共和国证券法》规定的会计师事务所审计。《基金合同》生效不足两个月的，基金管理人可以不编制当期季度报告、中期报告或者年度报告。</w:t>
      </w:r>
    </w:p>
    <w:p w14:paraId="6CD8F8D6" w14:textId="77777777" w:rsidR="00C55247" w:rsidRDefault="00A17E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5ACF156A" w14:textId="77777777" w:rsidR="00C55247" w:rsidRDefault="00A17E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5755E18" w14:textId="77777777" w:rsidR="00C55247" w:rsidRDefault="00A17E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12A7AFB7" w14:textId="77777777" w:rsidR="00C55247" w:rsidRDefault="00A17E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14:paraId="460CAFA9" w14:textId="77777777" w:rsidR="00C55247" w:rsidRDefault="00C55247">
      <w:pPr>
        <w:pStyle w:val="a0"/>
        <w:adjustRightInd w:val="0"/>
        <w:snapToGrid w:val="0"/>
        <w:ind w:firstLineChars="0" w:firstLine="0"/>
        <w:rPr>
          <w:rFonts w:ascii="彩虹粗仿宋" w:eastAsia="彩虹粗仿宋" w:hAnsi="宋体" w:cs="Arial"/>
          <w:sz w:val="24"/>
        </w:rPr>
      </w:pPr>
    </w:p>
    <w:p w14:paraId="6FBBB85D" w14:textId="77777777" w:rsidR="00C55247" w:rsidRDefault="00A17ED0">
      <w:pPr>
        <w:pStyle w:val="2"/>
        <w:jc w:val="center"/>
        <w:rPr>
          <w:rFonts w:ascii="彩虹粗仿宋" w:eastAsia="彩虹粗仿宋"/>
          <w:sz w:val="30"/>
        </w:rPr>
      </w:pPr>
      <w:bookmarkStart w:id="114" w:name="_Toc124325893"/>
      <w:r>
        <w:rPr>
          <w:rFonts w:ascii="彩虹粗仿宋" w:eastAsia="彩虹粗仿宋" w:hint="eastAsia"/>
          <w:sz w:val="30"/>
        </w:rPr>
        <w:t>九、基金收益分配</w:t>
      </w:r>
      <w:bookmarkEnd w:id="114"/>
    </w:p>
    <w:p w14:paraId="0F9CBD0D" w14:textId="77777777" w:rsidR="00C55247" w:rsidRDefault="00A17ED0">
      <w:pPr>
        <w:adjustRightInd w:val="0"/>
        <w:snapToGrid w:val="0"/>
        <w:ind w:firstLineChars="200" w:firstLine="480"/>
        <w:rPr>
          <w:rFonts w:ascii="彩虹粗仿宋" w:eastAsia="彩虹粗仿宋" w:hAnsi="宋体" w:cs="Arial"/>
          <w:sz w:val="24"/>
        </w:rPr>
      </w:pPr>
      <w:bookmarkStart w:id="115" w:name="_Hlk223208016"/>
      <w:bookmarkStart w:id="116" w:name="OLE_LINK12"/>
      <w:r>
        <w:rPr>
          <w:rFonts w:ascii="彩虹粗仿宋" w:eastAsia="彩虹粗仿宋" w:hAnsi="宋体" w:cs="Arial" w:hint="eastAsia"/>
          <w:sz w:val="24"/>
        </w:rPr>
        <w:t>基金收益分配是指按规定将基金的可分配收益按基金份额进行比例分配。</w:t>
      </w:r>
    </w:p>
    <w:p w14:paraId="0B0D598B" w14:textId="77777777" w:rsidR="00C55247" w:rsidRDefault="00A17ED0">
      <w:pPr>
        <w:adjustRightInd w:val="0"/>
        <w:snapToGrid w:val="0"/>
        <w:ind w:firstLineChars="200" w:firstLine="480"/>
        <w:outlineLvl w:val="0"/>
        <w:rPr>
          <w:rFonts w:ascii="彩虹粗仿宋" w:eastAsia="彩虹粗仿宋" w:hAnsi="宋体" w:cs="Arial"/>
          <w:sz w:val="24"/>
        </w:rPr>
      </w:pPr>
      <w:bookmarkStart w:id="117" w:name="_Hlk117763563"/>
      <w:r>
        <w:rPr>
          <w:rFonts w:ascii="彩虹粗仿宋" w:eastAsia="彩虹粗仿宋" w:hAnsi="宋体" w:cs="Arial" w:hint="eastAsia"/>
          <w:sz w:val="24"/>
        </w:rPr>
        <w:t>（一）基金收益分配的原则</w:t>
      </w:r>
    </w:p>
    <w:p w14:paraId="1A30D75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16EF1D4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1、在符合有关基金分红条件的前提下，基金管理人可根据实际情况对本基金进行收益分配，分配时间、分配方案及收益分配数额等内容，基金管理人可以根据实际情况确定并按照有关规定公告；</w:t>
      </w:r>
    </w:p>
    <w:p w14:paraId="6E420C1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基金份额持有人可选择现金红利或将现金红利自动转为相应类别的基金份额进行再投资；若基金份额持有人不选择，本基金默认的收益分配方式是现金分红；基金份额持有人可对各类别基金份额分别选择不同的分红方式；</w:t>
      </w:r>
    </w:p>
    <w:p w14:paraId="76D5F6F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3、本基金同一类别的每一基金份额享有同等分配权；</w:t>
      </w:r>
    </w:p>
    <w:p w14:paraId="097129D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4、基于本基金的特点，本基金收益分配无需以弥补亏损为前提，收益分配后各类基金份额净值有可能低于面值；</w:t>
      </w:r>
    </w:p>
    <w:p w14:paraId="555F068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5、法律法规或监管机构另有规定的，从其规定。</w:t>
      </w:r>
    </w:p>
    <w:p w14:paraId="28E790DF" w14:textId="1EA81F84"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在不违反法律法规、基金合同的约定以及对基金份额持有人利益无实质性不利影响的情况下，基金管理人在</w:t>
      </w:r>
      <w:r w:rsidR="00C31425">
        <w:rPr>
          <w:rFonts w:ascii="彩虹粗仿宋" w:eastAsia="彩虹粗仿宋" w:hAnsi="宋体" w:cs="Arial" w:hint="eastAsia"/>
          <w:sz w:val="24"/>
        </w:rPr>
        <w:t>与基金托管人协商一致后，经</w:t>
      </w:r>
      <w:r>
        <w:rPr>
          <w:rFonts w:ascii="彩虹粗仿宋" w:eastAsia="彩虹粗仿宋" w:hAnsi="宋体" w:cs="Arial" w:hint="eastAsia"/>
          <w:sz w:val="24"/>
        </w:rPr>
        <w:t>履行适当程序，可调整基金收益的分配原则和支付方式。</w:t>
      </w:r>
    </w:p>
    <w:bookmarkEnd w:id="117"/>
    <w:p w14:paraId="3327C98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186BA0F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w:t>
      </w:r>
      <w:r>
        <w:rPr>
          <w:rFonts w:ascii="彩虹粗仿宋" w:eastAsia="彩虹粗仿宋" w:hAnsi="宋体" w:cs="Arial"/>
          <w:sz w:val="24"/>
        </w:rPr>
        <w:t>定</w:t>
      </w:r>
      <w:r>
        <w:rPr>
          <w:rFonts w:ascii="彩虹粗仿宋" w:eastAsia="彩虹粗仿宋" w:hAnsi="宋体" w:cs="Arial" w:hint="eastAsia"/>
          <w:sz w:val="24"/>
        </w:rPr>
        <w:t>，并由基金托管人复核，在2日内在规定媒介公告。基金收益分配方案公告后（依据具体方案的规定），基金管理人就支付的现金红利向基金托管人发送划款指令，基金托管人按照基金管理人的指令及时进行分红资金的划付。</w:t>
      </w:r>
    </w:p>
    <w:p w14:paraId="740B7B99"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基金份额持有人自行承担。当基金份额持有人的现金红利小于一定金额，不足以支付银行转账或其他手续费用时，基金登记机构可将基金份额持有人的现金红利自动转为相应类别的基金份额。红利再投资的计算方法等有关事项，依照《业务规则》执行。</w:t>
      </w:r>
    </w:p>
    <w:p w14:paraId="7791822F"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（三）实施侧袋机制期间的收益分配</w:t>
      </w:r>
    </w:p>
    <w:p w14:paraId="243C2A9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w:t>
      </w:r>
    </w:p>
    <w:bookmarkEnd w:id="115"/>
    <w:bookmarkEnd w:id="116"/>
    <w:p w14:paraId="333B3495" w14:textId="77777777" w:rsidR="00C55247" w:rsidRDefault="00C55247">
      <w:pPr>
        <w:adjustRightInd w:val="0"/>
        <w:snapToGrid w:val="0"/>
        <w:rPr>
          <w:rFonts w:ascii="彩虹粗仿宋" w:eastAsia="彩虹粗仿宋" w:hAnsi="宋体" w:cs="Arial"/>
          <w:sz w:val="24"/>
        </w:rPr>
      </w:pPr>
    </w:p>
    <w:p w14:paraId="015CFB6B" w14:textId="77777777" w:rsidR="00C55247" w:rsidRDefault="00A17ED0">
      <w:pPr>
        <w:pStyle w:val="2"/>
        <w:jc w:val="center"/>
        <w:rPr>
          <w:rFonts w:ascii="彩虹粗仿宋" w:eastAsia="彩虹粗仿宋"/>
          <w:sz w:val="30"/>
        </w:rPr>
      </w:pPr>
      <w:bookmarkStart w:id="118" w:name="_Toc124325894"/>
      <w:r>
        <w:rPr>
          <w:rFonts w:ascii="彩虹粗仿宋" w:eastAsia="彩虹粗仿宋" w:hint="eastAsia"/>
          <w:sz w:val="30"/>
        </w:rPr>
        <w:t>十、基金信息披露</w:t>
      </w:r>
      <w:bookmarkEnd w:id="118"/>
    </w:p>
    <w:p w14:paraId="6725EFB1"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35693F8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21B613E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6125544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2、基金管理人和基金托管人为遵守和服从法院判决或裁定、仲裁裁决或中国证监会等监管机构的命令、决定所做出的信息披露或公开；</w:t>
      </w:r>
    </w:p>
    <w:p w14:paraId="68407C6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3、法律法规或监管机构、司法机关等有权机关要求提供；</w:t>
      </w:r>
    </w:p>
    <w:p w14:paraId="74247D2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4、因审计、法律等外部专业顾问提供服务需要提供。</w:t>
      </w:r>
    </w:p>
    <w:p w14:paraId="7020560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（二）信息披露的内容</w:t>
      </w:r>
    </w:p>
    <w:p w14:paraId="23914A00" w14:textId="627AE60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投资资产支持证券的相关公告、投资股指期货的相关公告、投资国债期货的相关公告、投资股票期权的相关公告、投资目标ETF的相关公告、参与融资和转融通证券出借交易的相关公告、实施侧袋机制期间的信息披露及中国证监会规定的其他信息。基金年度报告中的财务会计报告需经符合《中华人民共和国证券法》规定的会计师事务所审计后，方可披露。</w:t>
      </w:r>
    </w:p>
    <w:p w14:paraId="17D0946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37DAFCC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6721313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2A13F765" w14:textId="70D56C8E"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基金管理人在信息披露时，应说明基金托管人所复核的数据和信息。对于</w:t>
      </w:r>
      <w:r w:rsidR="000D403A">
        <w:rPr>
          <w:rFonts w:ascii="彩虹粗仿宋" w:eastAsia="彩虹粗仿宋" w:hAnsi="宋体" w:cs="Arial" w:hint="eastAsia"/>
          <w:sz w:val="24"/>
        </w:rPr>
        <w:t>基金</w:t>
      </w:r>
      <w:r>
        <w:rPr>
          <w:rFonts w:ascii="彩虹粗仿宋" w:eastAsia="彩虹粗仿宋" w:hAnsi="宋体" w:cs="Arial" w:hint="eastAsia"/>
          <w:sz w:val="24"/>
        </w:rPr>
        <w:t>托管人复核结果与</w:t>
      </w:r>
      <w:r w:rsidR="00D45A2F">
        <w:rPr>
          <w:rFonts w:ascii="彩虹粗仿宋" w:eastAsia="彩虹粗仿宋" w:hAnsi="宋体" w:cs="Arial" w:hint="eastAsia"/>
          <w:sz w:val="24"/>
        </w:rPr>
        <w:t>基金</w:t>
      </w:r>
      <w:r>
        <w:rPr>
          <w:rFonts w:ascii="彩虹粗仿宋" w:eastAsia="彩虹粗仿宋" w:hAnsi="宋体" w:cs="Arial" w:hint="eastAsia"/>
          <w:sz w:val="24"/>
        </w:rPr>
        <w:t>管理人无法达成一致的，</w:t>
      </w:r>
      <w:r w:rsidR="000D403A">
        <w:rPr>
          <w:rFonts w:ascii="彩虹粗仿宋" w:eastAsia="彩虹粗仿宋" w:hAnsi="宋体" w:cs="Arial" w:hint="eastAsia"/>
          <w:sz w:val="24"/>
        </w:rPr>
        <w:t>基金</w:t>
      </w:r>
      <w:r>
        <w:rPr>
          <w:rFonts w:ascii="彩虹粗仿宋" w:eastAsia="彩虹粗仿宋" w:hAnsi="宋体" w:cs="Arial" w:hint="eastAsia"/>
          <w:sz w:val="24"/>
        </w:rPr>
        <w:t>管理人应按照有关法律法规进行信息披露。</w:t>
      </w:r>
    </w:p>
    <w:p w14:paraId="7F69142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7D36A62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3490465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基金管理人应当在中国证监会规定的时间内，将应予披露的基金信息按规定披露。根据法律法规应由基金托管人公开披露的信息，基金托管人将按规定公开披露。</w:t>
      </w:r>
    </w:p>
    <w:p w14:paraId="1DE71EF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469AEB4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403FDF1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（2）基金投资所涉及的证券/期货交易市场遇法定节假日或因其他原因暂停营业时；</w:t>
      </w:r>
    </w:p>
    <w:p w14:paraId="757F323C" w14:textId="7C1EA036" w:rsidR="00EF11BD" w:rsidRPr="00EF11BD" w:rsidRDefault="00EF11BD" w:rsidP="00EF11B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EF11BD">
        <w:rPr>
          <w:rFonts w:ascii="彩虹粗仿宋" w:eastAsia="彩虹粗仿宋" w:hAnsi="宋体" w:cs="Arial" w:hint="eastAsia"/>
          <w:sz w:val="24"/>
        </w:rPr>
        <w:t>3</w:t>
      </w:r>
      <w:r>
        <w:rPr>
          <w:rFonts w:ascii="彩虹粗仿宋" w:eastAsia="彩虹粗仿宋" w:hAnsi="宋体" w:cs="Arial" w:hint="eastAsia"/>
          <w:sz w:val="24"/>
        </w:rPr>
        <w:t>）</w:t>
      </w:r>
      <w:r w:rsidRPr="00EF11BD">
        <w:rPr>
          <w:rFonts w:ascii="彩虹粗仿宋" w:eastAsia="彩虹粗仿宋" w:hAnsi="宋体" w:cs="Arial" w:hint="eastAsia"/>
          <w:sz w:val="24"/>
        </w:rPr>
        <w:t>当特定资产占前一估值日基金资产净值50%以上的，经与基金托管人协商确认后，基金管理人应当暂停估值；</w:t>
      </w:r>
    </w:p>
    <w:p w14:paraId="30AB7859" w14:textId="259264AF" w:rsidR="00C55247" w:rsidRDefault="00EF11BD" w:rsidP="00EF11B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EF11BD">
        <w:rPr>
          <w:rFonts w:ascii="彩虹粗仿宋" w:eastAsia="彩虹粗仿宋" w:hAnsi="宋体" w:cs="Arial" w:hint="eastAsia"/>
          <w:sz w:val="24"/>
        </w:rPr>
        <w:t>4</w:t>
      </w:r>
      <w:r>
        <w:rPr>
          <w:rFonts w:ascii="彩虹粗仿宋" w:eastAsia="彩虹粗仿宋" w:hAnsi="宋体" w:cs="Arial" w:hint="eastAsia"/>
          <w:sz w:val="24"/>
        </w:rPr>
        <w:t>）</w:t>
      </w:r>
      <w:r w:rsidRPr="00EF11BD">
        <w:rPr>
          <w:rFonts w:ascii="彩虹粗仿宋" w:eastAsia="彩虹粗仿宋" w:hAnsi="宋体" w:cs="Arial" w:hint="eastAsia"/>
          <w:sz w:val="24"/>
        </w:rPr>
        <w:t>基金所投资的目标ETF发生暂停估值、暂停公告基金份额净值的情形</w:t>
      </w:r>
      <w:r w:rsidR="00A17ED0">
        <w:rPr>
          <w:rFonts w:ascii="彩虹粗仿宋" w:eastAsia="彩虹粗仿宋" w:hAnsi="宋体" w:cs="Arial" w:hint="eastAsia"/>
          <w:sz w:val="24"/>
        </w:rPr>
        <w:t>；</w:t>
      </w:r>
    </w:p>
    <w:p w14:paraId="6D5DBA29" w14:textId="30930D50"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EF11BD">
        <w:rPr>
          <w:rFonts w:ascii="彩虹粗仿宋" w:eastAsia="彩虹粗仿宋" w:hAnsi="宋体" w:cs="Arial"/>
          <w:sz w:val="24"/>
        </w:rPr>
        <w:t>5</w:t>
      </w:r>
      <w:r>
        <w:rPr>
          <w:rFonts w:ascii="彩虹粗仿宋" w:eastAsia="彩虹粗仿宋" w:hAnsi="宋体" w:cs="Arial" w:hint="eastAsia"/>
          <w:sz w:val="24"/>
        </w:rPr>
        <w:t>）法律法规、《基金合同》或中国证监会规定的其他情况。</w:t>
      </w:r>
    </w:p>
    <w:p w14:paraId="3FBBA41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1C91ECA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531942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7A0D2D79" w14:textId="77777777" w:rsidR="00C55247" w:rsidRDefault="00A17ED0">
      <w:pPr>
        <w:pStyle w:val="a0"/>
        <w:ind w:firstLine="480"/>
        <w:rPr>
          <w:rFonts w:ascii="彩虹粗仿宋" w:eastAsia="彩虹粗仿宋" w:hAnsi="宋体" w:cs="Arial"/>
          <w:sz w:val="24"/>
        </w:rPr>
      </w:pPr>
      <w:r>
        <w:rPr>
          <w:rFonts w:ascii="彩虹粗仿宋" w:eastAsia="彩虹粗仿宋" w:hAnsi="宋体" w:cs="Arial" w:hint="eastAsia"/>
          <w:sz w:val="24"/>
        </w:rPr>
        <w:lastRenderedPageBreak/>
        <w:t>依法必须披露的信息发布后，基金管理人、基金托管人应当按照相关法律法规规定将信息置备于各自办公场所，供社会公众查阅、复制。基金管理人和基金托管人应保证文本的内容与所公告的内容完全一致。</w:t>
      </w:r>
    </w:p>
    <w:p w14:paraId="66967995" w14:textId="77777777" w:rsidR="00C55247" w:rsidRDefault="00A17ED0">
      <w:pPr>
        <w:pStyle w:val="a0"/>
        <w:ind w:firstLine="480"/>
        <w:rPr>
          <w:rFonts w:ascii="彩虹粗仿宋" w:eastAsia="彩虹粗仿宋" w:hAnsi="宋体" w:cs="Arial"/>
          <w:sz w:val="24"/>
        </w:rPr>
      </w:pPr>
      <w:r>
        <w:rPr>
          <w:rFonts w:ascii="彩虹粗仿宋" w:eastAsia="彩虹粗仿宋" w:hAnsi="宋体" w:cs="Arial" w:hint="eastAsia"/>
          <w:sz w:val="24"/>
        </w:rPr>
        <w:t>（四）实施侧袋机制期间的信息披露</w:t>
      </w:r>
    </w:p>
    <w:p w14:paraId="35C3486F" w14:textId="77777777" w:rsidR="00C55247" w:rsidRDefault="00A17ED0">
      <w:pPr>
        <w:pStyle w:val="a0"/>
        <w:ind w:firstLine="480"/>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3745153E" w14:textId="77777777" w:rsidR="00C55247" w:rsidRDefault="00A17ED0">
      <w:pPr>
        <w:pStyle w:val="a0"/>
        <w:ind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1FBE951B" w14:textId="77777777" w:rsidR="00C55247" w:rsidRDefault="00C55247">
      <w:pPr>
        <w:pStyle w:val="a0"/>
        <w:ind w:firstLineChars="0" w:firstLine="0"/>
        <w:rPr>
          <w:rFonts w:ascii="彩虹粗仿宋" w:eastAsia="彩虹粗仿宋" w:hAnsi="宋体" w:cs="Arial"/>
          <w:sz w:val="24"/>
        </w:rPr>
      </w:pPr>
    </w:p>
    <w:p w14:paraId="6D6AEAEC" w14:textId="77777777" w:rsidR="00C55247" w:rsidRDefault="00A17ED0">
      <w:pPr>
        <w:pStyle w:val="2"/>
        <w:jc w:val="center"/>
        <w:rPr>
          <w:rFonts w:ascii="彩虹粗仿宋" w:eastAsia="彩虹粗仿宋"/>
          <w:sz w:val="30"/>
        </w:rPr>
      </w:pPr>
      <w:bookmarkStart w:id="119" w:name="_Toc124325895"/>
      <w:r>
        <w:rPr>
          <w:rFonts w:ascii="彩虹粗仿宋" w:eastAsia="彩虹粗仿宋" w:hint="eastAsia"/>
          <w:sz w:val="30"/>
        </w:rPr>
        <w:t>十一、基金费用</w:t>
      </w:r>
      <w:bookmarkEnd w:id="119"/>
    </w:p>
    <w:p w14:paraId="39C34FD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278ACBE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w:t>
      </w:r>
      <w:bookmarkStart w:id="120" w:name="OLE_LINK46"/>
      <w:bookmarkStart w:id="121" w:name="OLE_LINK47"/>
      <w:r>
        <w:rPr>
          <w:rFonts w:ascii="彩虹粗仿宋" w:eastAsia="彩虹粗仿宋" w:hAnsi="宋体" w:cs="Arial" w:hint="eastAsia"/>
          <w:sz w:val="24"/>
        </w:rPr>
        <w:t>基金财产中投资于目标ETF的部分不收取管理费。本基金的管理费按前一日基金资产净值扣除基金财产中目标ETF基金份额所对应资产净值后剩余部分（若为负数，则取0）的0.15%年费率计提</w:t>
      </w:r>
      <w:bookmarkEnd w:id="120"/>
      <w:bookmarkEnd w:id="121"/>
      <w:r>
        <w:rPr>
          <w:rFonts w:ascii="彩虹粗仿宋" w:eastAsia="彩虹粗仿宋" w:hAnsi="宋体" w:cs="Arial" w:hint="eastAsia"/>
          <w:sz w:val="24"/>
        </w:rPr>
        <w:t>。管理费的计算方法如下：</w:t>
      </w:r>
    </w:p>
    <w:p w14:paraId="12BD56E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H＝E×0.15%÷当年天数</w:t>
      </w:r>
    </w:p>
    <w:p w14:paraId="04BBAAA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049C481D" w14:textId="62AC7E5B"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E为前一日基金资产净值扣除基金财产中目标ETF基金份额所对应资产净值后剩余部分（若为负数，则取0）</w:t>
      </w:r>
    </w:p>
    <w:p w14:paraId="28EDD54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3655556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基金财产中投资于目标ETF的部分不收取托管费。本基金的托管费按前一日基金资产净值扣除基金财产中目标ETF基金份额所对应资产净值后剩余部分（若为负数，则取0）的0.05%年费率计提。托管费的计算方法如下：</w:t>
      </w:r>
    </w:p>
    <w:p w14:paraId="02BB58A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H＝E×0.05%÷当年天数</w:t>
      </w:r>
    </w:p>
    <w:p w14:paraId="68456DB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341A1C7F" w14:textId="72683BDC"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E为前一日基金资产净值扣除基金财产中目标ETF基金份额所对应资产净值后剩余部分（若为负数，则取0）</w:t>
      </w:r>
    </w:p>
    <w:p w14:paraId="1C36B3F5" w14:textId="184DBBB8"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（三）销售服务费的计提比例、计提方法和支付方式</w:t>
      </w:r>
    </w:p>
    <w:p w14:paraId="4D607838"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本基金A类基金份额不收取销售服务费，C类基金份额的销售服务费按前一日C类基金份额基金资产净值的0.20%年费率计提。销售服务费的计算方法如下：</w:t>
      </w:r>
    </w:p>
    <w:p w14:paraId="08F0CF38"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H＝E×0.20%÷当年天数</w:t>
      </w:r>
    </w:p>
    <w:p w14:paraId="194A46C7"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14:paraId="5189F2F2"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E为C类基金份额前一日基金资产净值</w:t>
      </w:r>
    </w:p>
    <w:p w14:paraId="3439FFA9" w14:textId="77777777" w:rsidR="00C55247" w:rsidRDefault="00A17ED0">
      <w:pPr>
        <w:adjustRightInd w:val="0"/>
        <w:snapToGrid w:val="0"/>
        <w:ind w:firstLineChars="200" w:firstLine="480"/>
        <w:outlineLvl w:val="0"/>
        <w:rPr>
          <w:rFonts w:ascii="彩虹粗仿宋" w:eastAsia="彩虹粗仿宋" w:hAnsi="宋体" w:cs="Arial"/>
          <w:sz w:val="24"/>
        </w:rPr>
      </w:pPr>
      <w:bookmarkStart w:id="122" w:name="_Hlk223208453"/>
      <w:r>
        <w:rPr>
          <w:rFonts w:ascii="彩虹粗仿宋" w:eastAsia="彩虹粗仿宋" w:hAnsi="宋体" w:cs="Arial" w:hint="eastAsia"/>
          <w:sz w:val="24"/>
        </w:rPr>
        <w:t>销售服务费每日计提，具体收取/返还方式如下：</w:t>
      </w:r>
    </w:p>
    <w:p w14:paraId="3011D6C1"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（1）直销机构</w:t>
      </w:r>
    </w:p>
    <w:p w14:paraId="37687438" w14:textId="126691FA"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对于C类基金份额计提的销售服务费，将在投资人赎回基金份额或基金合同终止时随赎回款（或清算款）一并返还给投资人。</w:t>
      </w:r>
      <w:r w:rsidR="004D324F" w:rsidRPr="004D324F">
        <w:rPr>
          <w:rFonts w:ascii="彩虹粗仿宋" w:eastAsia="彩虹粗仿宋" w:hAnsi="宋体" w:cs="Arial" w:hint="eastAsia"/>
          <w:sz w:val="24"/>
        </w:rPr>
        <w:t>若遇法定节假日、</w:t>
      </w:r>
      <w:r w:rsidR="00380522">
        <w:rPr>
          <w:rFonts w:ascii="彩虹粗仿宋" w:eastAsia="彩虹粗仿宋" w:hAnsi="宋体" w:cs="Arial" w:hint="eastAsia"/>
          <w:sz w:val="24"/>
        </w:rPr>
        <w:t>公休</w:t>
      </w:r>
      <w:r w:rsidR="004D324F" w:rsidRPr="004D324F">
        <w:rPr>
          <w:rFonts w:ascii="彩虹粗仿宋" w:eastAsia="彩虹粗仿宋" w:hAnsi="宋体" w:cs="Arial" w:hint="eastAsia"/>
          <w:sz w:val="24"/>
        </w:rPr>
        <w:t>日</w:t>
      </w:r>
      <w:r w:rsidR="00380522">
        <w:rPr>
          <w:rFonts w:ascii="彩虹粗仿宋" w:eastAsia="彩虹粗仿宋" w:hAnsi="宋体" w:cs="Arial" w:hint="eastAsia"/>
          <w:sz w:val="24"/>
        </w:rPr>
        <w:t>或不可抗力</w:t>
      </w:r>
      <w:r w:rsidR="004D324F" w:rsidRPr="004D324F">
        <w:rPr>
          <w:rFonts w:ascii="彩虹粗仿宋" w:eastAsia="彩虹粗仿宋" w:hAnsi="宋体" w:cs="Arial" w:hint="eastAsia"/>
          <w:sz w:val="24"/>
        </w:rPr>
        <w:t>等，支付日期顺延。</w:t>
      </w:r>
    </w:p>
    <w:p w14:paraId="3D3F5479"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（2）其他销售机构</w:t>
      </w:r>
    </w:p>
    <w:p w14:paraId="41986E6A"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对于投资人持续持有期限未超过一年（即365天，下同）的C类基金份额，计提的销售服务费逐日累计至每月月末，按月支付，由基金管理人向基金托管人发送基金销售服务费划款指令，基金托管人在次月初5个工作日内按照指定的账户路径进行资金支付。若遇法定节假日、公休日或不可抗力等，支付日期顺延至</w:t>
      </w:r>
      <w:r>
        <w:rPr>
          <w:rFonts w:ascii="彩虹粗仿宋" w:eastAsia="彩虹粗仿宋" w:hAnsi="宋体" w:cs="Arial" w:hint="eastAsia"/>
          <w:sz w:val="24"/>
        </w:rPr>
        <w:lastRenderedPageBreak/>
        <w:t>最近可支付日支付。</w:t>
      </w:r>
    </w:p>
    <w:p w14:paraId="40C4E5F0" w14:textId="03FAD80D"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对于投资人持续持有期限超过一年的C类基金份额，继续计提的销售服务费将在投资人赎回相应基金份额或基金合同终止时随赎回款（或清算款）一并返还给投资人。</w:t>
      </w:r>
      <w:r w:rsidR="004D324F" w:rsidRPr="004D324F">
        <w:rPr>
          <w:rFonts w:ascii="彩虹粗仿宋" w:eastAsia="彩虹粗仿宋" w:hAnsi="宋体" w:cs="Arial" w:hint="eastAsia"/>
          <w:sz w:val="24"/>
        </w:rPr>
        <w:t>若遇法定节假日、</w:t>
      </w:r>
      <w:r w:rsidR="00DE0D99">
        <w:rPr>
          <w:rFonts w:ascii="彩虹粗仿宋" w:eastAsia="彩虹粗仿宋" w:hAnsi="宋体" w:cs="Arial" w:hint="eastAsia"/>
          <w:sz w:val="24"/>
        </w:rPr>
        <w:t>公休</w:t>
      </w:r>
      <w:r w:rsidR="004D324F" w:rsidRPr="004D324F">
        <w:rPr>
          <w:rFonts w:ascii="彩虹粗仿宋" w:eastAsia="彩虹粗仿宋" w:hAnsi="宋体" w:cs="Arial" w:hint="eastAsia"/>
          <w:sz w:val="24"/>
        </w:rPr>
        <w:t>日</w:t>
      </w:r>
      <w:r w:rsidR="00DE0D99">
        <w:rPr>
          <w:rFonts w:ascii="彩虹粗仿宋" w:eastAsia="彩虹粗仿宋" w:hAnsi="宋体" w:cs="Arial" w:hint="eastAsia"/>
          <w:sz w:val="24"/>
        </w:rPr>
        <w:t>或不可抗力</w:t>
      </w:r>
      <w:r w:rsidR="004D324F" w:rsidRPr="004D324F">
        <w:rPr>
          <w:rFonts w:ascii="彩虹粗仿宋" w:eastAsia="彩虹粗仿宋" w:hAnsi="宋体" w:cs="Arial" w:hint="eastAsia"/>
          <w:sz w:val="24"/>
        </w:rPr>
        <w:t>等，支付日期顺延。</w:t>
      </w:r>
    </w:p>
    <w:p w14:paraId="0832CE92" w14:textId="26865429" w:rsidR="004D324F" w:rsidRDefault="004D324F" w:rsidP="004D324F">
      <w:pPr>
        <w:adjustRightInd w:val="0"/>
        <w:snapToGrid w:val="0"/>
        <w:ind w:firstLineChars="200" w:firstLine="480"/>
        <w:outlineLvl w:val="0"/>
        <w:rPr>
          <w:rFonts w:ascii="彩虹粗仿宋" w:eastAsia="彩虹粗仿宋" w:hAnsi="宋体" w:cs="Arial"/>
          <w:sz w:val="24"/>
        </w:rPr>
      </w:pPr>
      <w:r w:rsidRPr="004D324F">
        <w:rPr>
          <w:rFonts w:ascii="彩虹粗仿宋" w:eastAsia="彩虹粗仿宋" w:hAnsi="宋体" w:cs="Arial" w:hint="eastAsia"/>
          <w:sz w:val="24"/>
        </w:rPr>
        <w:t>因涉及相关数据，应付销售服务费的计算和复核工作由基金管理人完成，相关信息以注册登记机构计算结果为准，基金托管人不承担复核责任。</w:t>
      </w:r>
    </w:p>
    <w:bookmarkEnd w:id="122"/>
    <w:p w14:paraId="3EEC3C85" w14:textId="079038F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合同》生效后与基金相关的信息披露费用、《基金合同》生效后与基金相关的会计师费、律师费、仲裁费和诉讼费、基金份额持有人大会费用、基金的证券/期货/期权交易费用、基金的银行汇划费用、基金的开户费用、账户维护费用、基金投资目标ETF的相关费用（包括但不限于目标ETF的交易费用、申赎费用等）等根据有关法律法规、《基金合同》及相应协议的规定，列入当期基金费用。</w:t>
      </w:r>
    </w:p>
    <w:p w14:paraId="07DA8074"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14:paraId="3F3E0A7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1、基金管理人和基金托管人因未履行或未完全履行义务导致的费用支出或基金财产的损失；</w:t>
      </w:r>
    </w:p>
    <w:p w14:paraId="4A24DF22"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2、基金管理人和基金托管人处理与基金运作无关的事项发生的费用；</w:t>
      </w:r>
    </w:p>
    <w:p w14:paraId="0390FC03"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3、《基金合同》生效前的相关费用；</w:t>
      </w:r>
    </w:p>
    <w:p w14:paraId="52E3340A"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4、标的指数许可使用费。本基金标的指数许可使用费由基金管理人承担；</w:t>
      </w:r>
    </w:p>
    <w:p w14:paraId="48492419" w14:textId="0FABD0F3"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、其他根据相关法律法规及中国证监会的有关规定不得列入基金费用的项目。</w:t>
      </w:r>
    </w:p>
    <w:p w14:paraId="6F029787" w14:textId="3ED5C688"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（六）基金管理费、基金托管费的复核程序、支付方式和时间</w:t>
      </w:r>
    </w:p>
    <w:p w14:paraId="517C05E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1DFB9CD4" w14:textId="56A88ED3"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基金托管人对基金管理人计提的基金管理费、基金托管费等，根据本托管协议和《基金合同》的有关规定进行复核。</w:t>
      </w:r>
    </w:p>
    <w:p w14:paraId="58BC3B0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48320085" w14:textId="4539BC2B"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逐日累计至每月月末，按月支付。由基金托管人根据与基金管理人核对一致的财务数据，自动在次月初5个工作日内按照指定的账户路径进行资金支付，基金管理人无需再出具资金划拨指令。若遇法定节假日、休息日或不可抗力等，支付日期顺延至最近可支付日支付。费用自动扣划后，基金管理人应进行核对，如发现数据不符，及时联系基金托管人协商解决。</w:t>
      </w:r>
    </w:p>
    <w:p w14:paraId="0CF4499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销售服务费的支付方式和时间详见本章节“（三）销售服务费的计提比例、计提方法和支付方式”。</w:t>
      </w:r>
    </w:p>
    <w:p w14:paraId="414ABAE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基金托管人出具正式函件指定基金管理费、销售服务费的收款账户。基金管理人如需要变更此账户，应提前5个工作日向基金托管人出具书面的收款账户变更通知。</w:t>
      </w:r>
    </w:p>
    <w:p w14:paraId="6AF0AF1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2E7A05A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但应及时通知基金管理人。</w:t>
      </w:r>
    </w:p>
    <w:p w14:paraId="0FBAFDE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（八）实施侧袋机制期间的基金费用</w:t>
      </w:r>
    </w:p>
    <w:p w14:paraId="21927B1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1A36F07F" w14:textId="77777777" w:rsidR="00C55247" w:rsidRDefault="00C55247">
      <w:pPr>
        <w:adjustRightInd w:val="0"/>
        <w:snapToGrid w:val="0"/>
        <w:rPr>
          <w:rFonts w:ascii="彩虹粗仿宋" w:eastAsia="彩虹粗仿宋" w:hAnsi="宋体" w:cs="Arial"/>
          <w:sz w:val="24"/>
        </w:rPr>
      </w:pPr>
    </w:p>
    <w:p w14:paraId="48B4E70B" w14:textId="77777777" w:rsidR="00C55247" w:rsidRDefault="00A17ED0">
      <w:pPr>
        <w:pStyle w:val="2"/>
        <w:jc w:val="center"/>
        <w:rPr>
          <w:rFonts w:ascii="彩虹粗仿宋" w:eastAsia="彩虹粗仿宋"/>
          <w:sz w:val="30"/>
        </w:rPr>
      </w:pPr>
      <w:bookmarkStart w:id="123" w:name="_Toc124325896"/>
      <w:r>
        <w:rPr>
          <w:rFonts w:ascii="彩虹粗仿宋" w:eastAsia="彩虹粗仿宋" w:hint="eastAsia"/>
          <w:sz w:val="30"/>
        </w:rPr>
        <w:t>十二、基金份额持有人名册的保管</w:t>
      </w:r>
      <w:bookmarkEnd w:id="123"/>
    </w:p>
    <w:p w14:paraId="5F105F98" w14:textId="52F49908"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按照法律法规的规定执行。如不能妥善保管，则按相关法规承担责任。</w:t>
      </w:r>
    </w:p>
    <w:p w14:paraId="123038D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5F00614C" w14:textId="77777777" w:rsidR="00C55247" w:rsidRDefault="00C55247">
      <w:pPr>
        <w:adjustRightInd w:val="0"/>
        <w:snapToGrid w:val="0"/>
        <w:rPr>
          <w:rFonts w:ascii="彩虹粗仿宋" w:eastAsia="彩虹粗仿宋" w:hAnsi="宋体" w:cs="Arial"/>
          <w:sz w:val="24"/>
        </w:rPr>
      </w:pPr>
    </w:p>
    <w:p w14:paraId="2CA1835E" w14:textId="77777777" w:rsidR="00C55247" w:rsidRDefault="00A17ED0">
      <w:pPr>
        <w:pStyle w:val="2"/>
        <w:jc w:val="center"/>
        <w:rPr>
          <w:rFonts w:ascii="彩虹粗仿宋" w:eastAsia="彩虹粗仿宋"/>
          <w:sz w:val="30"/>
        </w:rPr>
      </w:pPr>
      <w:bookmarkStart w:id="124" w:name="_Toc124325897"/>
      <w:r>
        <w:rPr>
          <w:rFonts w:ascii="彩虹粗仿宋" w:eastAsia="彩虹粗仿宋" w:hint="eastAsia"/>
          <w:sz w:val="30"/>
        </w:rPr>
        <w:t>十三、基金有关文件档案的保存</w:t>
      </w:r>
      <w:bookmarkEnd w:id="124"/>
    </w:p>
    <w:p w14:paraId="4B39700F"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758CD127" w14:textId="0C9FB8D4"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法律法规规定的期限保管。</w:t>
      </w:r>
    </w:p>
    <w:p w14:paraId="3640BFFA"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6D11A891" w14:textId="61EA21A8"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CD4FF1" w:rsidRPr="00852F0D">
        <w:rPr>
          <w:rFonts w:ascii="彩虹粗仿宋" w:eastAsia="彩虹粗仿宋" w:hAnsi="宋体" w:cs="Arial" w:hint="eastAsia"/>
          <w:sz w:val="24"/>
        </w:rPr>
        <w:t>除本协议另有约定外，</w:t>
      </w:r>
      <w:r>
        <w:rPr>
          <w:rFonts w:ascii="彩虹粗仿宋" w:eastAsia="彩虹粗仿宋" w:hAnsi="宋体" w:cs="Arial" w:hint="eastAsia"/>
          <w:sz w:val="24"/>
        </w:rPr>
        <w:t>基金管理人签署重大合同文本后，应及时将合同文本正本送达基金托管人处。</w:t>
      </w:r>
    </w:p>
    <w:p w14:paraId="597CBF3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21C029E6"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641427A2" w14:textId="77777777" w:rsidR="00C55247" w:rsidRDefault="00A17ED0">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14:paraId="080756B8" w14:textId="77777777" w:rsidR="00C55247" w:rsidRDefault="00C55247">
      <w:pPr>
        <w:adjustRightInd w:val="0"/>
        <w:snapToGrid w:val="0"/>
        <w:rPr>
          <w:rFonts w:ascii="彩虹粗仿宋" w:eastAsia="彩虹粗仿宋"/>
          <w:sz w:val="30"/>
          <w:szCs w:val="30"/>
        </w:rPr>
      </w:pPr>
    </w:p>
    <w:p w14:paraId="1C967BA1" w14:textId="77777777" w:rsidR="00C55247" w:rsidRDefault="00A17ED0">
      <w:pPr>
        <w:pStyle w:val="2"/>
        <w:jc w:val="center"/>
        <w:rPr>
          <w:rFonts w:ascii="彩虹粗仿宋" w:eastAsia="彩虹粗仿宋"/>
          <w:sz w:val="30"/>
        </w:rPr>
      </w:pPr>
      <w:bookmarkStart w:id="125" w:name="_Toc124325898"/>
      <w:bookmarkStart w:id="126" w:name="_Hlk117764337"/>
      <w:r>
        <w:rPr>
          <w:rFonts w:ascii="彩虹粗仿宋" w:eastAsia="彩虹粗仿宋" w:hint="eastAsia"/>
          <w:sz w:val="30"/>
        </w:rPr>
        <w:t>十四、基金管理人和基金托管人的更换</w:t>
      </w:r>
      <w:bookmarkEnd w:id="125"/>
    </w:p>
    <w:p w14:paraId="54119E7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42F8FFF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657F89A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68D1BCD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（1）被依法取消基金管理资格；</w:t>
      </w:r>
    </w:p>
    <w:p w14:paraId="51465BC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（2）被基金份额持有人大会解任；</w:t>
      </w:r>
    </w:p>
    <w:p w14:paraId="133B825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（3）依法解散、被依法撤销或被依法宣告破产；</w:t>
      </w:r>
    </w:p>
    <w:p w14:paraId="6D03FB0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（4）法律法规及中国证监会规定的和《基金合同》约定的其他情形。</w:t>
      </w:r>
    </w:p>
    <w:p w14:paraId="4CC30B7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719AF9A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6167F1A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（1）提名：新任基金管理人由基金托管人或由单独或合计持有10%以上（含</w:t>
      </w:r>
      <w:r>
        <w:rPr>
          <w:rFonts w:ascii="彩虹粗仿宋" w:eastAsia="彩虹粗仿宋" w:hAnsi="宋体" w:cs="Arial" w:hint="eastAsia"/>
          <w:sz w:val="24"/>
        </w:rPr>
        <w:lastRenderedPageBreak/>
        <w:t>10%）基金份额的基金份额持有人提名；</w:t>
      </w:r>
    </w:p>
    <w:p w14:paraId="6BAD7A7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793F096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（3）临时基金管理人：新任基金管理人产生之前，由中国证监会指定临时基金管理人；</w:t>
      </w:r>
    </w:p>
    <w:p w14:paraId="0259ACC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（4）备案：基金份额持有人大会更换基金管理人的决议须报中国证监会备案；</w:t>
      </w:r>
    </w:p>
    <w:p w14:paraId="45465D2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（5）公告：基金管理人更换后，由基金托管人在更换基金管理人的基金份额持有人大会决议生效后2日内在规定媒介公告；</w:t>
      </w:r>
    </w:p>
    <w:p w14:paraId="3771967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交接：原任基金管理人职责终止的，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14:paraId="1BA61B2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（7）审计：原任基金管理人职责终止的，应当按照法律法规规定聘请会计师事务所对基金财产进行审计，并将审计结果予以公告，同时报中国证监会备案。审计费用在基金财产中列支；</w:t>
      </w:r>
    </w:p>
    <w:p w14:paraId="4E6CDC1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（8）基金名称变更：基金管理人更换后，如果原任或新任基金管理人要求，应按其要求替换或删除基金名称中与原</w:t>
      </w:r>
      <w:r>
        <w:rPr>
          <w:rFonts w:ascii="彩虹粗仿宋" w:eastAsia="彩虹粗仿宋" w:hAnsi="宋体" w:cs="Arial" w:hint="eastAsia"/>
          <w:sz w:val="24"/>
        </w:rPr>
        <w:t>任</w:t>
      </w:r>
      <w:r>
        <w:rPr>
          <w:rFonts w:ascii="彩虹粗仿宋" w:eastAsia="彩虹粗仿宋" w:hAnsi="宋体" w:cs="Arial"/>
          <w:sz w:val="24"/>
        </w:rPr>
        <w:t>基金管理人有关的名称字样。</w:t>
      </w:r>
    </w:p>
    <w:p w14:paraId="41455E2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1D394C7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3A38473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1C10700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（1）被依法取消基金托管资格；</w:t>
      </w:r>
    </w:p>
    <w:p w14:paraId="3DA6AA1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（2）被基金份额持有人大会解任；</w:t>
      </w:r>
    </w:p>
    <w:p w14:paraId="3DD7FD4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（3）依法解散、被依法撤销或被依法宣告破产；</w:t>
      </w:r>
    </w:p>
    <w:p w14:paraId="221BC31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（4）法律法规及中国证监会规定的和《基金合同》约定的其他情形。</w:t>
      </w:r>
    </w:p>
    <w:p w14:paraId="1E1720D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7853C4C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（1）提名：新任基金托管人由基金管理人或由单独或合计持有10%以上（含10%）基金份额的基金份额持有人提名；</w:t>
      </w:r>
    </w:p>
    <w:p w14:paraId="40AFE22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3682C08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（3）临时基金托管人：新任基金托管人产生之前，由中国证监会指定临时基金托管人；</w:t>
      </w:r>
    </w:p>
    <w:p w14:paraId="5120481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（4）备案：基金份额持有人大会更换基金托管人的决议须报中国证监会备案；</w:t>
      </w:r>
    </w:p>
    <w:p w14:paraId="5E7A86C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（5）公告：基金托管人更换后，由基金管理人在更换基金托管人的基金份额持有人大会决议生效后2日内在规定媒介公告；</w:t>
      </w:r>
    </w:p>
    <w:p w14:paraId="1D9153C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交接：原任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基金资产净值；</w:t>
      </w:r>
    </w:p>
    <w:p w14:paraId="6B47470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（7）审计：原任基金托管人职责终止的，应当按照法律法规规定聘请会计师事务所对基金财产进行审计，并将审计结果予以公告，同时报中国证监会备案。审计费用在基金财产中列支。</w:t>
      </w:r>
    </w:p>
    <w:p w14:paraId="287C42D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421DED0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1、提名：如果基金管理人和基金托管人同时更换，由单独或合计持有基金总份额10%以上（含10%）的基金份额持有人提名新的基金管理人和基金托管人；</w:t>
      </w:r>
    </w:p>
    <w:p w14:paraId="111B101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基金管理人和基金托管人的更换分别按上述程序进行；</w:t>
      </w:r>
    </w:p>
    <w:p w14:paraId="5645276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公告：新任基金管理人和新任基金托管人应在更换基金管理人和基金托管人的基金份额持有人大会决议生效后2日内在规定媒介上联合公告。</w:t>
      </w:r>
    </w:p>
    <w:p w14:paraId="3606A870" w14:textId="124AC4A6"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（四）新任基金管理人或临时基金管理人接收基金管理业务，或新任基金托管人或临时基金托管人接收基金财产和基金托管业务前，原任基金管理人或原任基金托管人应继续履行相关职责，并保证不</w:t>
      </w:r>
      <w:r>
        <w:rPr>
          <w:rFonts w:ascii="彩虹粗仿宋" w:eastAsia="彩虹粗仿宋" w:hAnsi="宋体" w:cs="Arial"/>
          <w:sz w:val="24"/>
        </w:rPr>
        <w:t>做</w:t>
      </w:r>
      <w:r>
        <w:rPr>
          <w:rFonts w:ascii="彩虹粗仿宋" w:eastAsia="彩虹粗仿宋" w:hAnsi="宋体" w:cs="Arial" w:hint="eastAsia"/>
          <w:sz w:val="24"/>
        </w:rPr>
        <w:t>出对基金份额持有人的利益造成损害的行为。原任基金管理人或原任基金托管人在继续履行相关职责期间，仍有权按照基金合同的规定收取基金管理费或基金托管费。</w:t>
      </w:r>
    </w:p>
    <w:p w14:paraId="3878A5B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77AD6FF" w14:textId="77777777" w:rsidR="00C55247" w:rsidRDefault="00C55247">
      <w:pPr>
        <w:adjustRightInd w:val="0"/>
        <w:snapToGrid w:val="0"/>
        <w:rPr>
          <w:rFonts w:ascii="彩虹粗仿宋" w:eastAsia="彩虹粗仿宋" w:hAnsi="宋体" w:cs="Arial"/>
          <w:sz w:val="24"/>
        </w:rPr>
      </w:pPr>
    </w:p>
    <w:p w14:paraId="0E96A2DF" w14:textId="77777777" w:rsidR="00C55247" w:rsidRDefault="00A17ED0">
      <w:pPr>
        <w:pStyle w:val="2"/>
        <w:jc w:val="center"/>
        <w:rPr>
          <w:rFonts w:ascii="彩虹粗仿宋" w:eastAsia="彩虹粗仿宋"/>
          <w:sz w:val="30"/>
        </w:rPr>
      </w:pPr>
      <w:bookmarkStart w:id="127" w:name="_Toc124325899"/>
      <w:bookmarkEnd w:id="126"/>
      <w:r>
        <w:rPr>
          <w:rFonts w:ascii="彩虹粗仿宋" w:eastAsia="彩虹粗仿宋" w:hint="eastAsia"/>
          <w:sz w:val="30"/>
        </w:rPr>
        <w:t>十五、禁止行为</w:t>
      </w:r>
      <w:bookmarkEnd w:id="127"/>
    </w:p>
    <w:p w14:paraId="43F2FB43"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5B9E004C" w14:textId="77777777" w:rsidR="00C55247" w:rsidRDefault="00A17ED0">
      <w:pPr>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14:paraId="577E3DF9" w14:textId="77777777" w:rsidR="00C55247" w:rsidRDefault="00A17ED0">
      <w:pPr>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14:paraId="211C558C" w14:textId="77777777" w:rsidR="00C55247" w:rsidRDefault="00A17ED0">
      <w:pPr>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14:paraId="570A9866" w14:textId="77777777" w:rsidR="00C55247" w:rsidRDefault="00A17ED0">
      <w:pPr>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14:paraId="4C857844"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（五）基金管理人、基金托管人对他人泄露基金运作和管理过程中任何尚未按法律法规规定的方式公开披露的信息。</w:t>
      </w:r>
    </w:p>
    <w:p w14:paraId="3763A22B" w14:textId="77777777" w:rsidR="00C55247" w:rsidRDefault="00A17ED0">
      <w:pPr>
        <w:pStyle w:val="a6"/>
        <w:spacing w:line="24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045120D2"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14:paraId="3764B98F" w14:textId="77777777" w:rsidR="00C55247" w:rsidRDefault="00A17ED0">
      <w:pPr>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2E2F6F4D" w14:textId="6B4E6F63" w:rsidR="00C55247" w:rsidRDefault="00A17ED0">
      <w:pPr>
        <w:ind w:firstLineChars="200" w:firstLine="480"/>
        <w:rPr>
          <w:rFonts w:ascii="彩虹粗仿宋" w:eastAsia="彩虹粗仿宋" w:hAnsi="宋体" w:cs="Arial"/>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用于下列投资或者活动：1、</w:t>
      </w:r>
      <w:bookmarkStart w:id="128" w:name="OLE_LINK81"/>
      <w:bookmarkStart w:id="129" w:name="OLE_LINK82"/>
      <w:bookmarkStart w:id="130" w:name="OLE_LINK83"/>
      <w:r>
        <w:rPr>
          <w:rFonts w:ascii="彩虹粗仿宋" w:eastAsia="彩虹粗仿宋" w:hint="eastAsia"/>
          <w:sz w:val="24"/>
        </w:rPr>
        <w:t>承销证券</w:t>
      </w:r>
      <w:bookmarkEnd w:id="128"/>
      <w:bookmarkEnd w:id="129"/>
      <w:bookmarkEnd w:id="130"/>
      <w:r>
        <w:rPr>
          <w:rFonts w:ascii="彩虹粗仿宋" w:eastAsia="彩虹粗仿宋" w:hint="eastAsia"/>
          <w:sz w:val="24"/>
        </w:rPr>
        <w:t>；2、违反规定向他人贷款或者提供担保；3、从事承担无限责任的投资；</w:t>
      </w:r>
      <w:r>
        <w:rPr>
          <w:rFonts w:ascii="彩虹粗仿宋" w:eastAsia="彩虹粗仿宋"/>
          <w:sz w:val="24"/>
        </w:rPr>
        <w:t>4</w:t>
      </w:r>
      <w:r>
        <w:rPr>
          <w:rFonts w:ascii="彩虹粗仿宋" w:eastAsia="彩虹粗仿宋" w:hint="eastAsia"/>
          <w:sz w:val="24"/>
        </w:rPr>
        <w:t>、向其基金管理人、基金托管人出资；</w:t>
      </w:r>
      <w:r>
        <w:rPr>
          <w:rFonts w:ascii="彩虹粗仿宋" w:eastAsia="彩虹粗仿宋"/>
          <w:sz w:val="24"/>
        </w:rPr>
        <w:t>5</w:t>
      </w:r>
      <w:r>
        <w:rPr>
          <w:rFonts w:ascii="彩虹粗仿宋" w:eastAsia="彩虹粗仿宋" w:hint="eastAsia"/>
          <w:sz w:val="24"/>
        </w:rPr>
        <w:t>、从事内幕交易、操纵证券交易价格及其他不正当的证券交易活动；</w:t>
      </w:r>
      <w:r>
        <w:rPr>
          <w:rFonts w:ascii="彩虹粗仿宋" w:eastAsia="彩虹粗仿宋"/>
          <w:sz w:val="24"/>
        </w:rPr>
        <w:t>6</w:t>
      </w:r>
      <w:r>
        <w:rPr>
          <w:rFonts w:ascii="彩虹粗仿宋" w:eastAsia="彩虹粗仿宋" w:hint="eastAsia"/>
          <w:sz w:val="24"/>
        </w:rPr>
        <w:t>、法律、行政法规和中国证监会规定禁止的其他活动。</w:t>
      </w:r>
      <w:r>
        <w:rPr>
          <w:rFonts w:ascii="彩虹粗仿宋" w:eastAsia="彩虹粗仿宋" w:cs="Arial" w:hint="eastAsia"/>
          <w:sz w:val="24"/>
        </w:rPr>
        <w:t>法律、行政法规或监管部门取消或变更上述限制，如适用于本基金，基金管理人在履行适当程序后，则本基金投资不再受相关限制或以变更后的规定为准。</w:t>
      </w:r>
    </w:p>
    <w:p w14:paraId="6CCDBA55"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依照法律、行政法规有关规定，由中国证监会规定禁止基金管理人、基金托管人从事的其他行为。</w:t>
      </w:r>
    </w:p>
    <w:p w14:paraId="2B723528" w14:textId="77777777" w:rsidR="00C55247" w:rsidRDefault="00C55247">
      <w:pPr>
        <w:adjustRightInd w:val="0"/>
        <w:snapToGrid w:val="0"/>
        <w:rPr>
          <w:rFonts w:ascii="彩虹粗仿宋" w:eastAsia="彩虹粗仿宋"/>
          <w:sz w:val="30"/>
          <w:szCs w:val="30"/>
        </w:rPr>
      </w:pPr>
    </w:p>
    <w:p w14:paraId="576E171F" w14:textId="77777777" w:rsidR="00C55247" w:rsidRDefault="00A17ED0">
      <w:pPr>
        <w:pStyle w:val="2"/>
        <w:jc w:val="center"/>
        <w:rPr>
          <w:rFonts w:ascii="彩虹粗仿宋" w:eastAsia="彩虹粗仿宋"/>
          <w:sz w:val="30"/>
        </w:rPr>
      </w:pPr>
      <w:bookmarkStart w:id="131" w:name="_Toc124325900"/>
      <w:bookmarkStart w:id="132" w:name="_Hlk117764526"/>
      <w:r>
        <w:rPr>
          <w:rFonts w:ascii="彩虹粗仿宋" w:eastAsia="彩虹粗仿宋" w:hint="eastAsia"/>
          <w:sz w:val="30"/>
        </w:rPr>
        <w:lastRenderedPageBreak/>
        <w:t>十六、托管协议的变更、终止与基金财产的清算</w:t>
      </w:r>
      <w:bookmarkEnd w:id="131"/>
    </w:p>
    <w:p w14:paraId="3579E71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20A232B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09818C6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49F3013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0A815EC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201D2DE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1A764F8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47D4F33C" w14:textId="77777777" w:rsidR="00C55247" w:rsidRDefault="00A17ED0">
      <w:pPr>
        <w:adjustRightInd w:val="0"/>
        <w:snapToGrid w:val="0"/>
        <w:ind w:firstLineChars="200" w:firstLine="480"/>
        <w:rPr>
          <w:rFonts w:ascii="彩虹粗仿宋" w:eastAsia="彩虹粗仿宋" w:hAnsi="宋体" w:cs="Arial"/>
          <w:sz w:val="24"/>
        </w:rPr>
      </w:pPr>
      <w:bookmarkStart w:id="133" w:name="_Hlk223208722"/>
      <w:r>
        <w:rPr>
          <w:rFonts w:ascii="彩虹粗仿宋" w:eastAsia="彩虹粗仿宋" w:hAnsi="宋体" w:cs="Arial" w:hint="eastAsia"/>
          <w:sz w:val="24"/>
        </w:rPr>
        <w:t>（三）基金财产的清算</w:t>
      </w:r>
    </w:p>
    <w:p w14:paraId="37437CB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3314A27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9AA9B1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610C504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3070202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14:paraId="588EAE7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74C808C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3906D78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5686FFE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1415158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07E8454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562282A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21B67DE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51816F2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14:paraId="7A6CFD9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64B75E09" w14:textId="43CF3E23"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008FA214" w14:textId="402126BC" w:rsidR="000A6596" w:rsidRDefault="000A6596">
      <w:pPr>
        <w:adjustRightInd w:val="0"/>
        <w:snapToGrid w:val="0"/>
        <w:ind w:firstLineChars="200" w:firstLine="480"/>
        <w:rPr>
          <w:rFonts w:ascii="彩虹粗仿宋" w:eastAsia="彩虹粗仿宋" w:hAnsi="宋体" w:cs="Arial"/>
          <w:sz w:val="24"/>
        </w:rPr>
      </w:pPr>
      <w:r w:rsidRPr="000A6596">
        <w:rPr>
          <w:rFonts w:ascii="彩虹粗仿宋" w:eastAsia="彩虹粗仿宋" w:hAnsi="宋体" w:cs="Arial" w:hint="eastAsia"/>
          <w:sz w:val="24"/>
        </w:rPr>
        <w:t>其中，对于投资者通过直销机构认购、申购的C类基金份额计提的销售服务费，或者通过其他销售机构认购、申购且持续持有期限超过一年的C类基金份额继续计提的销售服务费，都将在基金合同终止时随剩余资产分配款项一并返还给投资者</w:t>
      </w:r>
    </w:p>
    <w:p w14:paraId="4920576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621C1D7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w:t>
      </w:r>
      <w:r>
        <w:rPr>
          <w:rFonts w:ascii="彩虹粗仿宋" w:eastAsia="彩虹粗仿宋" w:hAnsi="宋体" w:cs="Arial" w:hint="eastAsia"/>
          <w:sz w:val="24"/>
        </w:rPr>
        <w:lastRenderedPageBreak/>
        <w:t>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1B6C47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5C00639D" w14:textId="3B141F4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基金财产清算账册及有关文件由基金托管人保存，保存期限按照法律法规的规定执行。</w:t>
      </w:r>
    </w:p>
    <w:p w14:paraId="15FA6537" w14:textId="77777777" w:rsidR="00C55247" w:rsidRDefault="00A17ED0">
      <w:pPr>
        <w:pStyle w:val="2"/>
        <w:jc w:val="center"/>
        <w:rPr>
          <w:rFonts w:ascii="彩虹粗仿宋" w:eastAsia="彩虹粗仿宋"/>
          <w:sz w:val="30"/>
        </w:rPr>
      </w:pPr>
      <w:bookmarkStart w:id="134" w:name="_Toc124325901"/>
      <w:bookmarkEnd w:id="132"/>
      <w:bookmarkEnd w:id="133"/>
      <w:r>
        <w:rPr>
          <w:rFonts w:ascii="彩虹粗仿宋" w:eastAsia="彩虹粗仿宋" w:hint="eastAsia"/>
          <w:sz w:val="30"/>
        </w:rPr>
        <w:t>十七、违约责任</w:t>
      </w:r>
      <w:bookmarkEnd w:id="134"/>
    </w:p>
    <w:p w14:paraId="4209A707"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07598C4A"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失的，应当分别对各自的行为依法承担赔偿责任；因共同行为给基金财产或者基金份额持有人造成损失的，应当承担连带赔偿责任。</w:t>
      </w:r>
    </w:p>
    <w:p w14:paraId="1167B712"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2E6EC41"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1、不可抗力；</w:t>
      </w:r>
    </w:p>
    <w:p w14:paraId="000254B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2、基金管理人和/或基金托管人按照当时有效的法律法规或中国证监会的规定作为或不作为而造成的损失等；</w:t>
      </w:r>
    </w:p>
    <w:p w14:paraId="7479389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3、在没有过错的情况下，基金管理人由于按照《基金合同》规定的投资原则行使或不行使其投资权而造成的损失等；</w:t>
      </w:r>
    </w:p>
    <w:p w14:paraId="45639B4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697DBF1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818DE41"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0D13119F"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消除或减轻由此造成的影响。</w:t>
      </w:r>
    </w:p>
    <w:p w14:paraId="2F97C878" w14:textId="77777777" w:rsidR="00C55247" w:rsidRDefault="00C55247">
      <w:pPr>
        <w:adjustRightInd w:val="0"/>
        <w:snapToGrid w:val="0"/>
        <w:outlineLvl w:val="0"/>
        <w:rPr>
          <w:rFonts w:ascii="彩虹粗仿宋" w:eastAsia="彩虹粗仿宋" w:hAnsi="宋体" w:cs="Arial"/>
          <w:sz w:val="24"/>
        </w:rPr>
      </w:pPr>
    </w:p>
    <w:p w14:paraId="6CF276E9" w14:textId="77777777" w:rsidR="00C55247" w:rsidRDefault="00A17ED0">
      <w:pPr>
        <w:pStyle w:val="2"/>
        <w:jc w:val="center"/>
        <w:rPr>
          <w:rFonts w:ascii="彩虹粗仿宋" w:eastAsia="彩虹粗仿宋"/>
          <w:sz w:val="30"/>
        </w:rPr>
      </w:pPr>
      <w:bookmarkStart w:id="135" w:name="_Toc124325902"/>
      <w:r>
        <w:rPr>
          <w:rFonts w:ascii="彩虹粗仿宋" w:eastAsia="彩虹粗仿宋" w:hint="eastAsia"/>
          <w:sz w:val="30"/>
        </w:rPr>
        <w:t>十八、争议解决方式</w:t>
      </w:r>
      <w:bookmarkEnd w:id="135"/>
    </w:p>
    <w:p w14:paraId="2CC8C840" w14:textId="4B482BF6"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应经友好协商解决，如经友好协商未能解决的，任何一方均有权将争议提交中国国际经济贸易仲裁委员会，按照该会届时有效的仲裁规则进行仲裁，仲裁地点为北京市。仲裁裁决是终局的，对仲裁当事</w:t>
      </w:r>
      <w:r>
        <w:rPr>
          <w:rFonts w:ascii="彩虹粗仿宋" w:eastAsia="彩虹粗仿宋" w:hAnsi="宋体" w:cs="Arial" w:hint="eastAsia"/>
          <w:sz w:val="24"/>
        </w:rPr>
        <w:lastRenderedPageBreak/>
        <w:t>人均具有约束力。除非仲裁裁决另有规定，仲裁费用由败诉方承担。</w:t>
      </w:r>
    </w:p>
    <w:p w14:paraId="2DB6FF9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07904FF" w14:textId="5896DFD1"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本协议受中华人民共和国法律（为本托管协议之目的，不包括香港特别行政区、澳门特别行政区及台湾地区有关规定）管辖并从其解释。</w:t>
      </w:r>
    </w:p>
    <w:p w14:paraId="1DC1981C" w14:textId="77777777" w:rsidR="00C55247" w:rsidRDefault="00C55247">
      <w:pPr>
        <w:adjustRightInd w:val="0"/>
        <w:snapToGrid w:val="0"/>
        <w:rPr>
          <w:rFonts w:ascii="彩虹粗仿宋" w:eastAsia="彩虹粗仿宋" w:hAnsi="宋体" w:cs="Arial"/>
          <w:sz w:val="24"/>
        </w:rPr>
      </w:pPr>
    </w:p>
    <w:p w14:paraId="26F52C1C" w14:textId="77777777" w:rsidR="00C55247" w:rsidRDefault="00A17ED0">
      <w:pPr>
        <w:pStyle w:val="2"/>
        <w:jc w:val="center"/>
        <w:rPr>
          <w:rFonts w:ascii="彩虹粗仿宋" w:eastAsia="彩虹粗仿宋"/>
          <w:sz w:val="30"/>
        </w:rPr>
      </w:pPr>
      <w:bookmarkStart w:id="136" w:name="_Toc124325903"/>
      <w:r>
        <w:rPr>
          <w:rFonts w:ascii="彩虹粗仿宋" w:eastAsia="彩虹粗仿宋" w:hint="eastAsia"/>
          <w:sz w:val="30"/>
        </w:rPr>
        <w:t>十九、托管协议的效力</w:t>
      </w:r>
      <w:bookmarkEnd w:id="136"/>
    </w:p>
    <w:p w14:paraId="26AA020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631C371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基金募集注册时提交的托管协议草案，应经托管协议当事人双方加盖公章或合同专用章以及双方法定代表人或授权代表签字或盖章，协议当事人双方根据中国证监会的意见修改托管协议</w:t>
      </w:r>
      <w:bookmarkStart w:id="137" w:name="_GoBack"/>
      <w:r>
        <w:rPr>
          <w:rFonts w:ascii="彩虹粗仿宋" w:eastAsia="彩虹粗仿宋" w:hAnsi="宋体" w:cs="Arial" w:hint="eastAsia"/>
          <w:sz w:val="24"/>
        </w:rPr>
        <w:t>草案</w:t>
      </w:r>
      <w:bookmarkEnd w:id="137"/>
      <w:r>
        <w:rPr>
          <w:rFonts w:ascii="彩虹粗仿宋" w:eastAsia="彩虹粗仿宋" w:hAnsi="宋体" w:cs="Arial" w:hint="eastAsia"/>
          <w:sz w:val="24"/>
        </w:rPr>
        <w:t>。托管协议以中国证监会注册的文本为正式文本。</w:t>
      </w:r>
    </w:p>
    <w:p w14:paraId="4C7AF6F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（二）托管协议自《基金合同》成立之日起成立，自《基金合同》生效之日起生效。托管协议的有效期自其生效之日起至基金财产清算报告报中国证监会备案并公告之日止。</w:t>
      </w:r>
    </w:p>
    <w:p w14:paraId="2461AB7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51FAC0A0" w14:textId="1C56C370" w:rsidR="00C55247" w:rsidRDefault="00A17ED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w:t>
      </w:r>
      <w:r w:rsidR="00A07E88">
        <w:rPr>
          <w:rFonts w:ascii="彩虹粗仿宋" w:eastAsia="彩虹粗仿宋" w:hAnsi="宋体" w:cs="Arial" w:hint="eastAsia"/>
          <w:sz w:val="24"/>
        </w:rPr>
        <w:t>正本</w:t>
      </w:r>
      <w:r>
        <w:rPr>
          <w:rFonts w:ascii="彩虹粗仿宋" w:eastAsia="彩虹粗仿宋" w:hAnsi="宋体" w:cs="Arial" w:hint="eastAsia"/>
          <w:sz w:val="24"/>
        </w:rPr>
        <w:t>一式三份，基金管理人持一份，基金托管人持一份，上报监管机构一份，每份具有同等的法律效力。</w:t>
      </w:r>
    </w:p>
    <w:p w14:paraId="1BBCAB45" w14:textId="77777777" w:rsidR="00C55247" w:rsidRDefault="00C55247">
      <w:pPr>
        <w:adjustRightInd w:val="0"/>
        <w:snapToGrid w:val="0"/>
        <w:rPr>
          <w:rFonts w:ascii="彩虹粗仿宋" w:eastAsia="彩虹粗仿宋" w:hAnsi="宋体" w:cs="Arial"/>
          <w:sz w:val="24"/>
        </w:rPr>
      </w:pPr>
    </w:p>
    <w:p w14:paraId="3003342F" w14:textId="77777777" w:rsidR="00C55247" w:rsidRDefault="00A17ED0">
      <w:pPr>
        <w:pStyle w:val="2"/>
        <w:jc w:val="center"/>
        <w:rPr>
          <w:rFonts w:ascii="彩虹粗仿宋" w:eastAsia="彩虹粗仿宋"/>
          <w:sz w:val="30"/>
        </w:rPr>
      </w:pPr>
      <w:bookmarkStart w:id="138" w:name="_Toc124325904"/>
      <w:r>
        <w:rPr>
          <w:rFonts w:ascii="彩虹粗仿宋" w:eastAsia="彩虹粗仿宋" w:hint="eastAsia"/>
          <w:sz w:val="30"/>
        </w:rPr>
        <w:t>二十、其他事项</w:t>
      </w:r>
      <w:bookmarkEnd w:id="138"/>
    </w:p>
    <w:p w14:paraId="05F5B8C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3EBF867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5497201B" w14:textId="77777777" w:rsidR="00C55247" w:rsidRDefault="00C55247">
      <w:pPr>
        <w:adjustRightInd w:val="0"/>
        <w:snapToGrid w:val="0"/>
        <w:rPr>
          <w:rFonts w:ascii="彩虹粗仿宋" w:eastAsia="彩虹粗仿宋"/>
          <w:b/>
          <w:bCs/>
        </w:rPr>
      </w:pPr>
    </w:p>
    <w:p w14:paraId="44B79C93" w14:textId="77777777" w:rsidR="00C55247" w:rsidRDefault="00A17ED0">
      <w:pPr>
        <w:pStyle w:val="2"/>
        <w:jc w:val="center"/>
        <w:rPr>
          <w:rFonts w:ascii="彩虹粗仿宋" w:eastAsia="彩虹粗仿宋"/>
          <w:sz w:val="30"/>
        </w:rPr>
      </w:pPr>
      <w:bookmarkStart w:id="139" w:name="_Toc124325905"/>
      <w:r>
        <w:rPr>
          <w:rFonts w:ascii="彩虹粗仿宋" w:eastAsia="彩虹粗仿宋" w:hint="eastAsia"/>
          <w:sz w:val="30"/>
        </w:rPr>
        <w:t>二十一、托管协议的签订</w:t>
      </w:r>
      <w:bookmarkEnd w:id="139"/>
    </w:p>
    <w:p w14:paraId="52FE9B67" w14:textId="2F154180"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本协议双方法定代表人或授权代表签字或盖章并加盖双方公章或合同专用章，并列明签订地、签订日。</w:t>
      </w:r>
    </w:p>
    <w:p w14:paraId="0C9C9CC2" w14:textId="77777777" w:rsidR="00C55247" w:rsidRDefault="00C55247">
      <w:pPr>
        <w:adjustRightInd w:val="0"/>
        <w:snapToGrid w:val="0"/>
        <w:ind w:firstLineChars="200" w:firstLine="480"/>
        <w:rPr>
          <w:rFonts w:ascii="彩虹粗仿宋" w:eastAsia="彩虹粗仿宋" w:hAnsi="宋体" w:cs="Arial"/>
          <w:sz w:val="24"/>
        </w:rPr>
        <w:sectPr w:rsidR="00C55247">
          <w:headerReference w:type="default" r:id="rId8"/>
          <w:footerReference w:type="default" r:id="rId9"/>
          <w:pgSz w:w="11906" w:h="16838"/>
          <w:pgMar w:top="1418" w:right="1701" w:bottom="1418" w:left="1701" w:header="851" w:footer="992" w:gutter="0"/>
          <w:pgNumType w:start="1"/>
          <w:cols w:space="425"/>
          <w:docGrid w:type="lines" w:linePitch="312"/>
        </w:sectPr>
      </w:pPr>
    </w:p>
    <w:p w14:paraId="6F3665E3" w14:textId="3E86116F" w:rsidR="00C55247" w:rsidRDefault="00A17ED0">
      <w:pPr>
        <w:spacing w:line="360" w:lineRule="auto"/>
        <w:ind w:right="26"/>
        <w:rPr>
          <w:rFonts w:ascii="彩虹粗仿宋" w:eastAsia="彩虹粗仿宋"/>
          <w:sz w:val="24"/>
        </w:rPr>
      </w:pPr>
      <w:r>
        <w:rPr>
          <w:rFonts w:ascii="彩虹粗仿宋" w:eastAsia="彩虹粗仿宋" w:hint="eastAsia"/>
          <w:sz w:val="24"/>
        </w:rPr>
        <w:lastRenderedPageBreak/>
        <w:t>本页无正文，为《国泰上证科创板50成份交易型开放式指数证券投资基金发起式联接基金托管协议》的签字盖章页。</w:t>
      </w:r>
    </w:p>
    <w:p w14:paraId="14EFA423" w14:textId="77777777" w:rsidR="00C55247" w:rsidRDefault="00C55247">
      <w:pPr>
        <w:spacing w:line="360" w:lineRule="auto"/>
        <w:rPr>
          <w:rFonts w:ascii="彩虹粗仿宋" w:eastAsia="彩虹粗仿宋"/>
          <w:sz w:val="24"/>
        </w:rPr>
      </w:pPr>
    </w:p>
    <w:p w14:paraId="48789121" w14:textId="77777777" w:rsidR="00C55247" w:rsidRDefault="00C55247">
      <w:pPr>
        <w:spacing w:line="360" w:lineRule="auto"/>
        <w:rPr>
          <w:rFonts w:ascii="彩虹粗仿宋" w:eastAsia="彩虹粗仿宋"/>
          <w:sz w:val="24"/>
        </w:rPr>
      </w:pPr>
    </w:p>
    <w:p w14:paraId="54648497" w14:textId="77777777" w:rsidR="00C55247" w:rsidRDefault="00C55247">
      <w:pPr>
        <w:spacing w:line="360" w:lineRule="auto"/>
        <w:rPr>
          <w:rFonts w:ascii="彩虹粗仿宋" w:eastAsia="彩虹粗仿宋"/>
          <w:sz w:val="24"/>
        </w:rPr>
      </w:pPr>
    </w:p>
    <w:p w14:paraId="2F3F7A62" w14:textId="77777777" w:rsidR="00C55247" w:rsidRDefault="00A17ED0">
      <w:pPr>
        <w:spacing w:line="360" w:lineRule="auto"/>
        <w:ind w:right="26"/>
        <w:rPr>
          <w:rFonts w:ascii="彩虹粗仿宋" w:eastAsia="彩虹粗仿宋"/>
          <w:sz w:val="24"/>
        </w:rPr>
      </w:pPr>
      <w:r>
        <w:rPr>
          <w:rFonts w:ascii="彩虹粗仿宋" w:eastAsia="彩虹粗仿宋" w:hint="eastAsia"/>
          <w:sz w:val="24"/>
        </w:rPr>
        <w:t>基金管理人：国泰基金管理有限公司（盖章）</w:t>
      </w:r>
    </w:p>
    <w:p w14:paraId="3146E02A" w14:textId="77777777" w:rsidR="00C55247" w:rsidRDefault="00C55247">
      <w:pPr>
        <w:spacing w:line="360" w:lineRule="auto"/>
        <w:ind w:right="26"/>
        <w:rPr>
          <w:rFonts w:ascii="彩虹粗仿宋" w:eastAsia="彩虹粗仿宋"/>
          <w:sz w:val="24"/>
        </w:rPr>
      </w:pPr>
    </w:p>
    <w:p w14:paraId="07126794" w14:textId="77777777" w:rsidR="00C55247" w:rsidRDefault="00C55247">
      <w:pPr>
        <w:spacing w:line="360" w:lineRule="auto"/>
        <w:ind w:right="26"/>
        <w:rPr>
          <w:rFonts w:ascii="彩虹粗仿宋" w:eastAsia="彩虹粗仿宋"/>
          <w:sz w:val="24"/>
        </w:rPr>
      </w:pPr>
    </w:p>
    <w:p w14:paraId="681C54B5" w14:textId="77777777" w:rsidR="00C55247" w:rsidRDefault="00C55247">
      <w:pPr>
        <w:spacing w:line="360" w:lineRule="auto"/>
        <w:ind w:right="26"/>
        <w:rPr>
          <w:rFonts w:ascii="彩虹粗仿宋" w:eastAsia="彩虹粗仿宋"/>
          <w:sz w:val="24"/>
        </w:rPr>
      </w:pPr>
    </w:p>
    <w:p w14:paraId="21EA8995" w14:textId="77777777" w:rsidR="00C55247" w:rsidRDefault="00A17ED0">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3DACED33" w14:textId="77777777" w:rsidR="00C55247" w:rsidRDefault="00C55247">
      <w:pPr>
        <w:spacing w:line="360" w:lineRule="auto"/>
        <w:ind w:right="26"/>
        <w:rPr>
          <w:rFonts w:ascii="彩虹粗仿宋" w:eastAsia="彩虹粗仿宋"/>
          <w:sz w:val="24"/>
        </w:rPr>
      </w:pPr>
    </w:p>
    <w:p w14:paraId="2E148FBA" w14:textId="77777777" w:rsidR="00C55247" w:rsidRDefault="00C55247">
      <w:pPr>
        <w:spacing w:line="360" w:lineRule="auto"/>
        <w:ind w:right="26"/>
        <w:rPr>
          <w:rFonts w:ascii="彩虹粗仿宋" w:eastAsia="彩虹粗仿宋"/>
          <w:sz w:val="24"/>
        </w:rPr>
      </w:pPr>
    </w:p>
    <w:p w14:paraId="65DA9002" w14:textId="77777777" w:rsidR="00C55247" w:rsidRDefault="00A17ED0">
      <w:pPr>
        <w:spacing w:line="360" w:lineRule="auto"/>
        <w:ind w:right="26"/>
        <w:rPr>
          <w:rFonts w:ascii="彩虹粗仿宋" w:eastAsia="彩虹粗仿宋"/>
          <w:b/>
          <w:sz w:val="24"/>
          <w:szCs w:val="28"/>
        </w:rPr>
      </w:pPr>
      <w:r>
        <w:rPr>
          <w:rFonts w:ascii="彩虹粗仿宋" w:eastAsia="彩虹粗仿宋" w:hint="eastAsia"/>
          <w:b/>
          <w:sz w:val="24"/>
          <w:szCs w:val="28"/>
        </w:rPr>
        <w:t>签订地点：</w:t>
      </w:r>
    </w:p>
    <w:p w14:paraId="0CD39AD6" w14:textId="77777777" w:rsidR="00C55247" w:rsidRDefault="00A17ED0">
      <w:pPr>
        <w:spacing w:line="360" w:lineRule="auto"/>
        <w:ind w:right="26"/>
        <w:rPr>
          <w:rFonts w:ascii="彩虹粗仿宋" w:eastAsia="彩虹粗仿宋"/>
          <w:b/>
          <w:sz w:val="24"/>
          <w:szCs w:val="28"/>
        </w:rPr>
      </w:pPr>
      <w:r>
        <w:rPr>
          <w:rFonts w:ascii="彩虹粗仿宋" w:eastAsia="彩虹粗仿宋" w:hint="eastAsia"/>
          <w:b/>
          <w:sz w:val="24"/>
          <w:szCs w:val="28"/>
        </w:rPr>
        <w:t xml:space="preserve">签 订 日： </w:t>
      </w:r>
      <w:r>
        <w:rPr>
          <w:rFonts w:ascii="彩虹粗仿宋" w:eastAsia="彩虹粗仿宋"/>
          <w:b/>
          <w:sz w:val="24"/>
          <w:szCs w:val="28"/>
        </w:rPr>
        <w:t xml:space="preserve">   </w:t>
      </w:r>
      <w:r>
        <w:rPr>
          <w:rFonts w:ascii="彩虹粗仿宋" w:eastAsia="彩虹粗仿宋" w:hint="eastAsia"/>
          <w:b/>
          <w:sz w:val="24"/>
          <w:szCs w:val="28"/>
        </w:rPr>
        <w:t xml:space="preserve">年 </w:t>
      </w:r>
      <w:r>
        <w:rPr>
          <w:rFonts w:ascii="彩虹粗仿宋" w:eastAsia="彩虹粗仿宋"/>
          <w:b/>
          <w:sz w:val="24"/>
          <w:szCs w:val="28"/>
        </w:rPr>
        <w:t xml:space="preserve"> </w:t>
      </w:r>
      <w:r>
        <w:rPr>
          <w:rFonts w:ascii="彩虹粗仿宋" w:eastAsia="彩虹粗仿宋" w:hint="eastAsia"/>
          <w:b/>
          <w:sz w:val="24"/>
          <w:szCs w:val="28"/>
        </w:rPr>
        <w:t xml:space="preserve">月 </w:t>
      </w:r>
      <w:r>
        <w:rPr>
          <w:rFonts w:ascii="彩虹粗仿宋" w:eastAsia="彩虹粗仿宋"/>
          <w:b/>
          <w:sz w:val="24"/>
          <w:szCs w:val="28"/>
        </w:rPr>
        <w:t xml:space="preserve"> </w:t>
      </w:r>
      <w:r>
        <w:rPr>
          <w:rFonts w:ascii="彩虹粗仿宋" w:eastAsia="彩虹粗仿宋" w:hint="eastAsia"/>
          <w:b/>
          <w:sz w:val="24"/>
          <w:szCs w:val="28"/>
        </w:rPr>
        <w:t>日</w:t>
      </w:r>
    </w:p>
    <w:p w14:paraId="2CE7ABC1" w14:textId="77777777" w:rsidR="00C55247" w:rsidRDefault="00C55247">
      <w:pPr>
        <w:spacing w:line="360" w:lineRule="auto"/>
        <w:ind w:right="26"/>
        <w:rPr>
          <w:rFonts w:ascii="彩虹粗仿宋" w:eastAsia="彩虹粗仿宋"/>
          <w:sz w:val="24"/>
        </w:rPr>
      </w:pPr>
    </w:p>
    <w:p w14:paraId="4EB4E4CD" w14:textId="77777777" w:rsidR="00C55247" w:rsidRDefault="00C55247">
      <w:pPr>
        <w:spacing w:line="360" w:lineRule="auto"/>
        <w:ind w:right="26"/>
        <w:rPr>
          <w:rFonts w:ascii="彩虹粗仿宋" w:eastAsia="彩虹粗仿宋"/>
          <w:sz w:val="24"/>
        </w:rPr>
      </w:pPr>
    </w:p>
    <w:p w14:paraId="0CBA7693" w14:textId="77777777" w:rsidR="00C55247" w:rsidRDefault="00C55247">
      <w:pPr>
        <w:spacing w:line="360" w:lineRule="auto"/>
        <w:ind w:right="26"/>
        <w:rPr>
          <w:rFonts w:ascii="彩虹粗仿宋" w:eastAsia="彩虹粗仿宋"/>
          <w:sz w:val="24"/>
        </w:rPr>
      </w:pPr>
    </w:p>
    <w:p w14:paraId="6863A0AB" w14:textId="77777777" w:rsidR="00C55247" w:rsidRDefault="00C55247">
      <w:pPr>
        <w:spacing w:line="360" w:lineRule="auto"/>
        <w:ind w:right="26"/>
        <w:rPr>
          <w:rFonts w:ascii="彩虹粗仿宋" w:eastAsia="彩虹粗仿宋"/>
          <w:sz w:val="24"/>
        </w:rPr>
      </w:pPr>
    </w:p>
    <w:p w14:paraId="5117B3F6" w14:textId="77777777" w:rsidR="00C55247" w:rsidRDefault="00A17ED0">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155FB72A" w14:textId="77777777" w:rsidR="00C55247" w:rsidRDefault="00C55247">
      <w:pPr>
        <w:spacing w:line="360" w:lineRule="auto"/>
        <w:ind w:right="26"/>
        <w:rPr>
          <w:rFonts w:ascii="彩虹粗仿宋" w:eastAsia="彩虹粗仿宋"/>
          <w:sz w:val="24"/>
        </w:rPr>
      </w:pPr>
    </w:p>
    <w:p w14:paraId="14029516" w14:textId="77777777" w:rsidR="00C55247" w:rsidRDefault="00C55247">
      <w:pPr>
        <w:spacing w:line="360" w:lineRule="auto"/>
        <w:ind w:right="26"/>
        <w:rPr>
          <w:rFonts w:ascii="彩虹粗仿宋" w:eastAsia="彩虹粗仿宋"/>
          <w:sz w:val="24"/>
        </w:rPr>
      </w:pPr>
    </w:p>
    <w:p w14:paraId="421E23C4" w14:textId="77777777" w:rsidR="00C55247" w:rsidRDefault="00C55247">
      <w:pPr>
        <w:spacing w:line="360" w:lineRule="auto"/>
        <w:ind w:right="26"/>
        <w:rPr>
          <w:rFonts w:ascii="彩虹粗仿宋" w:eastAsia="彩虹粗仿宋"/>
          <w:sz w:val="24"/>
        </w:rPr>
      </w:pPr>
    </w:p>
    <w:p w14:paraId="194EE794" w14:textId="77777777" w:rsidR="00C55247" w:rsidRDefault="00A17ED0">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0316D649" w14:textId="77777777" w:rsidR="00C55247" w:rsidRDefault="00C55247">
      <w:pPr>
        <w:spacing w:line="360" w:lineRule="auto"/>
        <w:ind w:right="26"/>
        <w:rPr>
          <w:rFonts w:ascii="彩虹粗仿宋" w:eastAsia="彩虹粗仿宋"/>
          <w:b/>
          <w:sz w:val="24"/>
          <w:szCs w:val="28"/>
        </w:rPr>
      </w:pPr>
    </w:p>
    <w:p w14:paraId="1E2766DE" w14:textId="77777777" w:rsidR="00C55247" w:rsidRDefault="00C55247">
      <w:pPr>
        <w:spacing w:line="360" w:lineRule="auto"/>
        <w:ind w:right="26"/>
        <w:rPr>
          <w:rFonts w:ascii="彩虹粗仿宋" w:eastAsia="彩虹粗仿宋"/>
          <w:b/>
          <w:sz w:val="24"/>
          <w:szCs w:val="28"/>
        </w:rPr>
      </w:pPr>
    </w:p>
    <w:p w14:paraId="68A21CE7" w14:textId="77777777" w:rsidR="00C55247" w:rsidRDefault="00A17ED0">
      <w:pPr>
        <w:spacing w:line="360" w:lineRule="auto"/>
        <w:ind w:right="26"/>
        <w:rPr>
          <w:rFonts w:ascii="彩虹粗仿宋" w:eastAsia="彩虹粗仿宋"/>
          <w:b/>
          <w:sz w:val="24"/>
          <w:szCs w:val="28"/>
        </w:rPr>
      </w:pPr>
      <w:r>
        <w:rPr>
          <w:rFonts w:ascii="彩虹粗仿宋" w:eastAsia="彩虹粗仿宋" w:hint="eastAsia"/>
          <w:b/>
          <w:sz w:val="24"/>
          <w:szCs w:val="28"/>
        </w:rPr>
        <w:t>签订地点：</w:t>
      </w:r>
    </w:p>
    <w:p w14:paraId="2E3BBAFC" w14:textId="77777777" w:rsidR="00C55247" w:rsidRDefault="00A17ED0">
      <w:pPr>
        <w:adjustRightInd w:val="0"/>
        <w:snapToGrid w:val="0"/>
        <w:spacing w:line="360" w:lineRule="auto"/>
      </w:pPr>
      <w:r>
        <w:rPr>
          <w:rFonts w:ascii="彩虹粗仿宋" w:eastAsia="彩虹粗仿宋" w:hint="eastAsia"/>
          <w:b/>
          <w:sz w:val="24"/>
          <w:szCs w:val="28"/>
        </w:rPr>
        <w:t xml:space="preserve">签 订 日： </w:t>
      </w:r>
      <w:r>
        <w:rPr>
          <w:rFonts w:ascii="彩虹粗仿宋" w:eastAsia="彩虹粗仿宋"/>
          <w:b/>
          <w:sz w:val="24"/>
          <w:szCs w:val="28"/>
        </w:rPr>
        <w:t xml:space="preserve">   </w:t>
      </w:r>
      <w:r>
        <w:rPr>
          <w:rFonts w:ascii="彩虹粗仿宋" w:eastAsia="彩虹粗仿宋" w:hint="eastAsia"/>
          <w:b/>
          <w:sz w:val="24"/>
          <w:szCs w:val="28"/>
        </w:rPr>
        <w:t xml:space="preserve">年 </w:t>
      </w:r>
      <w:r>
        <w:rPr>
          <w:rFonts w:ascii="彩虹粗仿宋" w:eastAsia="彩虹粗仿宋"/>
          <w:b/>
          <w:sz w:val="24"/>
          <w:szCs w:val="28"/>
        </w:rPr>
        <w:t xml:space="preserve"> </w:t>
      </w:r>
      <w:r>
        <w:rPr>
          <w:rFonts w:ascii="彩虹粗仿宋" w:eastAsia="彩虹粗仿宋" w:hint="eastAsia"/>
          <w:b/>
          <w:sz w:val="24"/>
          <w:szCs w:val="28"/>
        </w:rPr>
        <w:t xml:space="preserve">月 </w:t>
      </w:r>
      <w:r>
        <w:rPr>
          <w:rFonts w:ascii="彩虹粗仿宋" w:eastAsia="彩虹粗仿宋"/>
          <w:b/>
          <w:sz w:val="24"/>
          <w:szCs w:val="28"/>
        </w:rPr>
        <w:t xml:space="preserve"> </w:t>
      </w:r>
      <w:r>
        <w:rPr>
          <w:rFonts w:ascii="彩虹粗仿宋" w:eastAsia="彩虹粗仿宋" w:hint="eastAsia"/>
          <w:b/>
          <w:sz w:val="24"/>
          <w:szCs w:val="28"/>
        </w:rPr>
        <w:t>日</w:t>
      </w:r>
    </w:p>
    <w:sectPr w:rsidR="00C55247">
      <w:headerReference w:type="default" r:id="rId10"/>
      <w:footerReference w:type="default" r:id="rId11"/>
      <w:pgSz w:w="11906" w:h="16838"/>
      <w:pgMar w:top="1418" w:right="1701" w:bottom="1418"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ACEE1" w16cid:durableId="2D542B57"/>
  <w16cid:commentId w16cid:paraId="1A2FEEA5" w16cid:durableId="2D542B58"/>
  <w16cid:commentId w16cid:paraId="02F46D04" w16cid:durableId="2D542B59"/>
  <w16cid:commentId w16cid:paraId="5B98F1F0" w16cid:durableId="2D542B5A"/>
  <w16cid:commentId w16cid:paraId="6ED3AC95" w16cid:durableId="2D542B5B"/>
  <w16cid:commentId w16cid:paraId="53757FF9" w16cid:durableId="2D542B5C"/>
  <w16cid:commentId w16cid:paraId="635EF1EE" w16cid:durableId="2D542B5D"/>
  <w16cid:commentId w16cid:paraId="0436EC75" w16cid:durableId="2D542B5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7F73F" w14:textId="77777777" w:rsidR="0063135C" w:rsidRDefault="0063135C">
      <w:r>
        <w:separator/>
      </w:r>
    </w:p>
  </w:endnote>
  <w:endnote w:type="continuationSeparator" w:id="0">
    <w:p w14:paraId="279272BA" w14:textId="77777777" w:rsidR="0063135C" w:rsidRDefault="006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Arial Unicode MS">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330F" w14:textId="77777777" w:rsidR="00A17ED0" w:rsidRDefault="00A17ED0">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B90944D" w14:textId="77777777" w:rsidR="00A17ED0" w:rsidRDefault="00A17ED0">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5612" w14:textId="0AB952D1" w:rsidR="00A17ED0" w:rsidRDefault="00A17ED0">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E61395">
      <w:rPr>
        <w:rStyle w:val="af"/>
        <w:noProof/>
      </w:rPr>
      <w:t>30</w:t>
    </w:r>
    <w:r>
      <w:rPr>
        <w:rStyle w:val="af"/>
      </w:rPr>
      <w:fldChar w:fldCharType="end"/>
    </w:r>
  </w:p>
  <w:p w14:paraId="6458E07B" w14:textId="77777777" w:rsidR="00A17ED0" w:rsidRDefault="00A17ED0">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BCBD" w14:textId="77777777" w:rsidR="00A17ED0" w:rsidRDefault="00A17ED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608A9" w14:textId="77777777" w:rsidR="0063135C" w:rsidRDefault="0063135C">
      <w:r>
        <w:separator/>
      </w:r>
    </w:p>
  </w:footnote>
  <w:footnote w:type="continuationSeparator" w:id="0">
    <w:p w14:paraId="1853D0EA" w14:textId="77777777" w:rsidR="0063135C" w:rsidRDefault="006313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DA78" w14:textId="3857B36E" w:rsidR="00A17ED0" w:rsidRDefault="00A17ED0">
    <w:pPr>
      <w:pStyle w:val="aa"/>
      <w:jc w:val="right"/>
    </w:pP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15C8" w14:textId="178B5037" w:rsidR="00A17ED0" w:rsidRDefault="00A17ED0">
    <w:pPr>
      <w:pStyle w:val="aa"/>
      <w:jc w:val="right"/>
    </w:pP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55"/>
    <w:rsid w:val="0000087C"/>
    <w:rsid w:val="00001C6E"/>
    <w:rsid w:val="0000264C"/>
    <w:rsid w:val="000078D6"/>
    <w:rsid w:val="00007BED"/>
    <w:rsid w:val="000122EA"/>
    <w:rsid w:val="00014315"/>
    <w:rsid w:val="000161CB"/>
    <w:rsid w:val="000179C1"/>
    <w:rsid w:val="00021402"/>
    <w:rsid w:val="000231C2"/>
    <w:rsid w:val="00030BEB"/>
    <w:rsid w:val="0003112F"/>
    <w:rsid w:val="0003538D"/>
    <w:rsid w:val="0003643D"/>
    <w:rsid w:val="00036B8D"/>
    <w:rsid w:val="00037E7E"/>
    <w:rsid w:val="00040DF6"/>
    <w:rsid w:val="00045DF8"/>
    <w:rsid w:val="000469FD"/>
    <w:rsid w:val="00046BF0"/>
    <w:rsid w:val="0004737E"/>
    <w:rsid w:val="00050606"/>
    <w:rsid w:val="00050BD8"/>
    <w:rsid w:val="000514DB"/>
    <w:rsid w:val="000611D7"/>
    <w:rsid w:val="00062BCE"/>
    <w:rsid w:val="00063EDE"/>
    <w:rsid w:val="000654D5"/>
    <w:rsid w:val="00066A52"/>
    <w:rsid w:val="000671A2"/>
    <w:rsid w:val="000673C7"/>
    <w:rsid w:val="00071515"/>
    <w:rsid w:val="00072861"/>
    <w:rsid w:val="00073184"/>
    <w:rsid w:val="000733A3"/>
    <w:rsid w:val="00075090"/>
    <w:rsid w:val="00076926"/>
    <w:rsid w:val="000778DC"/>
    <w:rsid w:val="00080E64"/>
    <w:rsid w:val="0008200C"/>
    <w:rsid w:val="00082956"/>
    <w:rsid w:val="000852E2"/>
    <w:rsid w:val="000869B9"/>
    <w:rsid w:val="000924F5"/>
    <w:rsid w:val="00093542"/>
    <w:rsid w:val="00094AFB"/>
    <w:rsid w:val="00095351"/>
    <w:rsid w:val="000A48BF"/>
    <w:rsid w:val="000A6596"/>
    <w:rsid w:val="000A6E30"/>
    <w:rsid w:val="000B01E5"/>
    <w:rsid w:val="000B4D78"/>
    <w:rsid w:val="000B5AD2"/>
    <w:rsid w:val="000C4EC1"/>
    <w:rsid w:val="000D1EC3"/>
    <w:rsid w:val="000D2A68"/>
    <w:rsid w:val="000D2C1B"/>
    <w:rsid w:val="000D305E"/>
    <w:rsid w:val="000D37CC"/>
    <w:rsid w:val="000D4010"/>
    <w:rsid w:val="000D403A"/>
    <w:rsid w:val="000D5946"/>
    <w:rsid w:val="000D6684"/>
    <w:rsid w:val="000D7BB7"/>
    <w:rsid w:val="000E0E5A"/>
    <w:rsid w:val="000E36A2"/>
    <w:rsid w:val="000E38EA"/>
    <w:rsid w:val="000E5003"/>
    <w:rsid w:val="000E5C3D"/>
    <w:rsid w:val="000E6CFF"/>
    <w:rsid w:val="000E7A0C"/>
    <w:rsid w:val="000F005C"/>
    <w:rsid w:val="000F06B2"/>
    <w:rsid w:val="000F3565"/>
    <w:rsid w:val="000F421E"/>
    <w:rsid w:val="0010013C"/>
    <w:rsid w:val="00100F4E"/>
    <w:rsid w:val="00101421"/>
    <w:rsid w:val="00101423"/>
    <w:rsid w:val="001053F8"/>
    <w:rsid w:val="00107D29"/>
    <w:rsid w:val="0011042F"/>
    <w:rsid w:val="00110453"/>
    <w:rsid w:val="001112BF"/>
    <w:rsid w:val="0011349B"/>
    <w:rsid w:val="00113AE5"/>
    <w:rsid w:val="00113EF8"/>
    <w:rsid w:val="00114EC0"/>
    <w:rsid w:val="00117B4E"/>
    <w:rsid w:val="00117BBC"/>
    <w:rsid w:val="0012274A"/>
    <w:rsid w:val="00124ED1"/>
    <w:rsid w:val="001250C3"/>
    <w:rsid w:val="001252A5"/>
    <w:rsid w:val="00130233"/>
    <w:rsid w:val="00130322"/>
    <w:rsid w:val="001323E0"/>
    <w:rsid w:val="00133144"/>
    <w:rsid w:val="0013340B"/>
    <w:rsid w:val="00136D80"/>
    <w:rsid w:val="00137FF5"/>
    <w:rsid w:val="00140726"/>
    <w:rsid w:val="00141CB5"/>
    <w:rsid w:val="00143161"/>
    <w:rsid w:val="0014444E"/>
    <w:rsid w:val="0014469D"/>
    <w:rsid w:val="00146F8B"/>
    <w:rsid w:val="001536F0"/>
    <w:rsid w:val="00154DBD"/>
    <w:rsid w:val="00156041"/>
    <w:rsid w:val="00156700"/>
    <w:rsid w:val="00157C4F"/>
    <w:rsid w:val="0016439F"/>
    <w:rsid w:val="00167A3C"/>
    <w:rsid w:val="00172C09"/>
    <w:rsid w:val="001776A0"/>
    <w:rsid w:val="001801FB"/>
    <w:rsid w:val="001832E6"/>
    <w:rsid w:val="00185A50"/>
    <w:rsid w:val="001869B2"/>
    <w:rsid w:val="001915F4"/>
    <w:rsid w:val="001927D7"/>
    <w:rsid w:val="001A04F0"/>
    <w:rsid w:val="001A06A8"/>
    <w:rsid w:val="001A0A0A"/>
    <w:rsid w:val="001A2E4A"/>
    <w:rsid w:val="001A36DD"/>
    <w:rsid w:val="001A6591"/>
    <w:rsid w:val="001A6689"/>
    <w:rsid w:val="001B17C8"/>
    <w:rsid w:val="001B2442"/>
    <w:rsid w:val="001B3341"/>
    <w:rsid w:val="001B60A5"/>
    <w:rsid w:val="001B6C50"/>
    <w:rsid w:val="001C09E9"/>
    <w:rsid w:val="001C1FF7"/>
    <w:rsid w:val="001C3955"/>
    <w:rsid w:val="001C5277"/>
    <w:rsid w:val="001C618C"/>
    <w:rsid w:val="001D0065"/>
    <w:rsid w:val="001D1217"/>
    <w:rsid w:val="001D3BF2"/>
    <w:rsid w:val="001D4374"/>
    <w:rsid w:val="001D513E"/>
    <w:rsid w:val="001E20F8"/>
    <w:rsid w:val="001E320A"/>
    <w:rsid w:val="001E4105"/>
    <w:rsid w:val="001E7C78"/>
    <w:rsid w:val="001F112B"/>
    <w:rsid w:val="001F3E7A"/>
    <w:rsid w:val="001F47C9"/>
    <w:rsid w:val="001F64DA"/>
    <w:rsid w:val="00201D1B"/>
    <w:rsid w:val="00201FCA"/>
    <w:rsid w:val="002037CD"/>
    <w:rsid w:val="00207460"/>
    <w:rsid w:val="00211AD3"/>
    <w:rsid w:val="00213C20"/>
    <w:rsid w:val="00215582"/>
    <w:rsid w:val="002164FD"/>
    <w:rsid w:val="00217E78"/>
    <w:rsid w:val="00220F70"/>
    <w:rsid w:val="00220FC5"/>
    <w:rsid w:val="00222F7B"/>
    <w:rsid w:val="00223A6C"/>
    <w:rsid w:val="00225069"/>
    <w:rsid w:val="0022525C"/>
    <w:rsid w:val="00227644"/>
    <w:rsid w:val="0023126D"/>
    <w:rsid w:val="00232363"/>
    <w:rsid w:val="00233E1A"/>
    <w:rsid w:val="00234CAF"/>
    <w:rsid w:val="00234CF1"/>
    <w:rsid w:val="0023546B"/>
    <w:rsid w:val="00235690"/>
    <w:rsid w:val="00236A7D"/>
    <w:rsid w:val="00240DDF"/>
    <w:rsid w:val="002418D0"/>
    <w:rsid w:val="0024508F"/>
    <w:rsid w:val="00246069"/>
    <w:rsid w:val="002462A8"/>
    <w:rsid w:val="00246328"/>
    <w:rsid w:val="00246515"/>
    <w:rsid w:val="00246574"/>
    <w:rsid w:val="0025052E"/>
    <w:rsid w:val="00250A67"/>
    <w:rsid w:val="00250E34"/>
    <w:rsid w:val="00251E6A"/>
    <w:rsid w:val="00253CDD"/>
    <w:rsid w:val="00256054"/>
    <w:rsid w:val="00257F69"/>
    <w:rsid w:val="00262982"/>
    <w:rsid w:val="002630A4"/>
    <w:rsid w:val="002634AE"/>
    <w:rsid w:val="002653F9"/>
    <w:rsid w:val="00266150"/>
    <w:rsid w:val="00266A61"/>
    <w:rsid w:val="00270A66"/>
    <w:rsid w:val="002715FD"/>
    <w:rsid w:val="00271E17"/>
    <w:rsid w:val="00271F2A"/>
    <w:rsid w:val="00273400"/>
    <w:rsid w:val="00274A3B"/>
    <w:rsid w:val="00276856"/>
    <w:rsid w:val="002769DF"/>
    <w:rsid w:val="00277AAC"/>
    <w:rsid w:val="00277B3D"/>
    <w:rsid w:val="00280FB3"/>
    <w:rsid w:val="00284767"/>
    <w:rsid w:val="00291303"/>
    <w:rsid w:val="00291F1B"/>
    <w:rsid w:val="00294FEB"/>
    <w:rsid w:val="0029526B"/>
    <w:rsid w:val="00296DAE"/>
    <w:rsid w:val="0029776A"/>
    <w:rsid w:val="00297C00"/>
    <w:rsid w:val="002A0018"/>
    <w:rsid w:val="002A0691"/>
    <w:rsid w:val="002A1681"/>
    <w:rsid w:val="002A2373"/>
    <w:rsid w:val="002A377B"/>
    <w:rsid w:val="002A4EF4"/>
    <w:rsid w:val="002A51C5"/>
    <w:rsid w:val="002A5229"/>
    <w:rsid w:val="002A5BAB"/>
    <w:rsid w:val="002B0314"/>
    <w:rsid w:val="002B1D60"/>
    <w:rsid w:val="002B263C"/>
    <w:rsid w:val="002B2B30"/>
    <w:rsid w:val="002B4721"/>
    <w:rsid w:val="002C07BC"/>
    <w:rsid w:val="002C0AB4"/>
    <w:rsid w:val="002C110A"/>
    <w:rsid w:val="002C5595"/>
    <w:rsid w:val="002C5752"/>
    <w:rsid w:val="002D0673"/>
    <w:rsid w:val="002D3104"/>
    <w:rsid w:val="002D3749"/>
    <w:rsid w:val="002D459C"/>
    <w:rsid w:val="002D7C5A"/>
    <w:rsid w:val="002D7E8D"/>
    <w:rsid w:val="002E2779"/>
    <w:rsid w:val="002E5022"/>
    <w:rsid w:val="002E6177"/>
    <w:rsid w:val="002E7541"/>
    <w:rsid w:val="002F1CFD"/>
    <w:rsid w:val="002F4136"/>
    <w:rsid w:val="002F57F9"/>
    <w:rsid w:val="002F63D7"/>
    <w:rsid w:val="002F6689"/>
    <w:rsid w:val="002F66AB"/>
    <w:rsid w:val="002F7A9E"/>
    <w:rsid w:val="0030441C"/>
    <w:rsid w:val="00304AD3"/>
    <w:rsid w:val="0030648E"/>
    <w:rsid w:val="003071B5"/>
    <w:rsid w:val="00313092"/>
    <w:rsid w:val="00313113"/>
    <w:rsid w:val="00313FE9"/>
    <w:rsid w:val="00317B59"/>
    <w:rsid w:val="00317EE7"/>
    <w:rsid w:val="00320B92"/>
    <w:rsid w:val="00321425"/>
    <w:rsid w:val="00324374"/>
    <w:rsid w:val="00326434"/>
    <w:rsid w:val="0032782E"/>
    <w:rsid w:val="00327DDE"/>
    <w:rsid w:val="0033183E"/>
    <w:rsid w:val="003324E5"/>
    <w:rsid w:val="00332782"/>
    <w:rsid w:val="00333108"/>
    <w:rsid w:val="00334653"/>
    <w:rsid w:val="00337C28"/>
    <w:rsid w:val="003414A1"/>
    <w:rsid w:val="003426E5"/>
    <w:rsid w:val="00344352"/>
    <w:rsid w:val="00344D03"/>
    <w:rsid w:val="00344D1B"/>
    <w:rsid w:val="00345067"/>
    <w:rsid w:val="003451FB"/>
    <w:rsid w:val="00345310"/>
    <w:rsid w:val="00345CB4"/>
    <w:rsid w:val="00346980"/>
    <w:rsid w:val="0034705B"/>
    <w:rsid w:val="00351DFD"/>
    <w:rsid w:val="00351F2F"/>
    <w:rsid w:val="00353DD4"/>
    <w:rsid w:val="00353DF3"/>
    <w:rsid w:val="00354532"/>
    <w:rsid w:val="00354F5D"/>
    <w:rsid w:val="0035546D"/>
    <w:rsid w:val="003577AA"/>
    <w:rsid w:val="00361BDC"/>
    <w:rsid w:val="00363C13"/>
    <w:rsid w:val="00365AC6"/>
    <w:rsid w:val="00370EA3"/>
    <w:rsid w:val="00371510"/>
    <w:rsid w:val="00372CBA"/>
    <w:rsid w:val="00374D8F"/>
    <w:rsid w:val="0037522E"/>
    <w:rsid w:val="003764B7"/>
    <w:rsid w:val="00380522"/>
    <w:rsid w:val="00382085"/>
    <w:rsid w:val="00384FE1"/>
    <w:rsid w:val="00390843"/>
    <w:rsid w:val="00391E9F"/>
    <w:rsid w:val="003920E3"/>
    <w:rsid w:val="00392337"/>
    <w:rsid w:val="00394317"/>
    <w:rsid w:val="003A0819"/>
    <w:rsid w:val="003A0B68"/>
    <w:rsid w:val="003A1648"/>
    <w:rsid w:val="003A2777"/>
    <w:rsid w:val="003A5416"/>
    <w:rsid w:val="003B0604"/>
    <w:rsid w:val="003B08E3"/>
    <w:rsid w:val="003B0F8C"/>
    <w:rsid w:val="003B3F5A"/>
    <w:rsid w:val="003C252F"/>
    <w:rsid w:val="003C4288"/>
    <w:rsid w:val="003C727C"/>
    <w:rsid w:val="003C77E0"/>
    <w:rsid w:val="003C78B1"/>
    <w:rsid w:val="003D1D11"/>
    <w:rsid w:val="003E04DB"/>
    <w:rsid w:val="003E604B"/>
    <w:rsid w:val="003E61B0"/>
    <w:rsid w:val="003E7F58"/>
    <w:rsid w:val="003F27D9"/>
    <w:rsid w:val="003F5205"/>
    <w:rsid w:val="003F6691"/>
    <w:rsid w:val="003F79A0"/>
    <w:rsid w:val="003F79CB"/>
    <w:rsid w:val="00401E74"/>
    <w:rsid w:val="0040362E"/>
    <w:rsid w:val="004038F0"/>
    <w:rsid w:val="0040417A"/>
    <w:rsid w:val="004046C6"/>
    <w:rsid w:val="00404B7A"/>
    <w:rsid w:val="00405FEB"/>
    <w:rsid w:val="00407000"/>
    <w:rsid w:val="004073EB"/>
    <w:rsid w:val="00410DBB"/>
    <w:rsid w:val="00411CAB"/>
    <w:rsid w:val="00417A56"/>
    <w:rsid w:val="00417C44"/>
    <w:rsid w:val="00417E4B"/>
    <w:rsid w:val="004231AC"/>
    <w:rsid w:val="00423937"/>
    <w:rsid w:val="00430EAE"/>
    <w:rsid w:val="004339A9"/>
    <w:rsid w:val="00434ACB"/>
    <w:rsid w:val="004357A5"/>
    <w:rsid w:val="0043581B"/>
    <w:rsid w:val="00435B28"/>
    <w:rsid w:val="0044235C"/>
    <w:rsid w:val="00443812"/>
    <w:rsid w:val="00445F89"/>
    <w:rsid w:val="00446F1B"/>
    <w:rsid w:val="004500AE"/>
    <w:rsid w:val="00451931"/>
    <w:rsid w:val="004531B6"/>
    <w:rsid w:val="004532BD"/>
    <w:rsid w:val="00453D57"/>
    <w:rsid w:val="004545D7"/>
    <w:rsid w:val="004568F0"/>
    <w:rsid w:val="00460821"/>
    <w:rsid w:val="00460BA7"/>
    <w:rsid w:val="00460E97"/>
    <w:rsid w:val="00461094"/>
    <w:rsid w:val="004623A8"/>
    <w:rsid w:val="00463974"/>
    <w:rsid w:val="00464542"/>
    <w:rsid w:val="0046733E"/>
    <w:rsid w:val="0047077E"/>
    <w:rsid w:val="004709B7"/>
    <w:rsid w:val="00470E63"/>
    <w:rsid w:val="00474832"/>
    <w:rsid w:val="00475B3F"/>
    <w:rsid w:val="004760E3"/>
    <w:rsid w:val="004775D9"/>
    <w:rsid w:val="00477710"/>
    <w:rsid w:val="004803D0"/>
    <w:rsid w:val="004806E2"/>
    <w:rsid w:val="00482A03"/>
    <w:rsid w:val="0048414C"/>
    <w:rsid w:val="00487DC3"/>
    <w:rsid w:val="00487EFB"/>
    <w:rsid w:val="00491CFC"/>
    <w:rsid w:val="00494442"/>
    <w:rsid w:val="0049773E"/>
    <w:rsid w:val="0049778A"/>
    <w:rsid w:val="00497816"/>
    <w:rsid w:val="004A0E75"/>
    <w:rsid w:val="004A0F81"/>
    <w:rsid w:val="004A3C35"/>
    <w:rsid w:val="004A4C88"/>
    <w:rsid w:val="004B17D7"/>
    <w:rsid w:val="004B1E22"/>
    <w:rsid w:val="004B297D"/>
    <w:rsid w:val="004B3966"/>
    <w:rsid w:val="004B3F0B"/>
    <w:rsid w:val="004B6295"/>
    <w:rsid w:val="004C0ACC"/>
    <w:rsid w:val="004C12B5"/>
    <w:rsid w:val="004C17F6"/>
    <w:rsid w:val="004C2D4F"/>
    <w:rsid w:val="004C391B"/>
    <w:rsid w:val="004C4CD1"/>
    <w:rsid w:val="004C57C4"/>
    <w:rsid w:val="004C5BD9"/>
    <w:rsid w:val="004D02E5"/>
    <w:rsid w:val="004D21F3"/>
    <w:rsid w:val="004D324F"/>
    <w:rsid w:val="004D73F7"/>
    <w:rsid w:val="004D7F6D"/>
    <w:rsid w:val="004E0B52"/>
    <w:rsid w:val="004E48FB"/>
    <w:rsid w:val="004E5CC9"/>
    <w:rsid w:val="004E6EDF"/>
    <w:rsid w:val="004E6F67"/>
    <w:rsid w:val="004F0E80"/>
    <w:rsid w:val="004F371F"/>
    <w:rsid w:val="004F646D"/>
    <w:rsid w:val="00500293"/>
    <w:rsid w:val="00503086"/>
    <w:rsid w:val="00504735"/>
    <w:rsid w:val="00510B5D"/>
    <w:rsid w:val="00511C3E"/>
    <w:rsid w:val="005122B5"/>
    <w:rsid w:val="0051341C"/>
    <w:rsid w:val="00513CC7"/>
    <w:rsid w:val="0051412E"/>
    <w:rsid w:val="0051732E"/>
    <w:rsid w:val="00521040"/>
    <w:rsid w:val="005211C3"/>
    <w:rsid w:val="00521F09"/>
    <w:rsid w:val="00522FEC"/>
    <w:rsid w:val="00524C3F"/>
    <w:rsid w:val="00530022"/>
    <w:rsid w:val="005324A1"/>
    <w:rsid w:val="00532885"/>
    <w:rsid w:val="00532B62"/>
    <w:rsid w:val="00534437"/>
    <w:rsid w:val="00534E2E"/>
    <w:rsid w:val="00536F8F"/>
    <w:rsid w:val="005376A3"/>
    <w:rsid w:val="005418CE"/>
    <w:rsid w:val="005421DA"/>
    <w:rsid w:val="0054244D"/>
    <w:rsid w:val="00543730"/>
    <w:rsid w:val="00544668"/>
    <w:rsid w:val="00545197"/>
    <w:rsid w:val="00551AE1"/>
    <w:rsid w:val="00551E56"/>
    <w:rsid w:val="00552B70"/>
    <w:rsid w:val="005539CF"/>
    <w:rsid w:val="00560E27"/>
    <w:rsid w:val="00564B52"/>
    <w:rsid w:val="00564FCB"/>
    <w:rsid w:val="005663BD"/>
    <w:rsid w:val="00566A84"/>
    <w:rsid w:val="0056796D"/>
    <w:rsid w:val="00567C8C"/>
    <w:rsid w:val="005712BE"/>
    <w:rsid w:val="005739C0"/>
    <w:rsid w:val="00575831"/>
    <w:rsid w:val="0057712C"/>
    <w:rsid w:val="005775BD"/>
    <w:rsid w:val="00580427"/>
    <w:rsid w:val="00580C9A"/>
    <w:rsid w:val="00581488"/>
    <w:rsid w:val="00583BF7"/>
    <w:rsid w:val="00583DB4"/>
    <w:rsid w:val="00586006"/>
    <w:rsid w:val="00586598"/>
    <w:rsid w:val="00586D16"/>
    <w:rsid w:val="00587195"/>
    <w:rsid w:val="00587776"/>
    <w:rsid w:val="00590022"/>
    <w:rsid w:val="00591A7A"/>
    <w:rsid w:val="00593131"/>
    <w:rsid w:val="005932E5"/>
    <w:rsid w:val="00593695"/>
    <w:rsid w:val="0059454C"/>
    <w:rsid w:val="00595A65"/>
    <w:rsid w:val="005A0AA0"/>
    <w:rsid w:val="005A5A89"/>
    <w:rsid w:val="005A6F1F"/>
    <w:rsid w:val="005B00CA"/>
    <w:rsid w:val="005B4A91"/>
    <w:rsid w:val="005B5FA7"/>
    <w:rsid w:val="005B6C21"/>
    <w:rsid w:val="005C0673"/>
    <w:rsid w:val="005C097C"/>
    <w:rsid w:val="005C167B"/>
    <w:rsid w:val="005C177A"/>
    <w:rsid w:val="005C24D2"/>
    <w:rsid w:val="005C30B3"/>
    <w:rsid w:val="005C51D8"/>
    <w:rsid w:val="005D04DE"/>
    <w:rsid w:val="005D0746"/>
    <w:rsid w:val="005D436B"/>
    <w:rsid w:val="005D6B6C"/>
    <w:rsid w:val="005D7785"/>
    <w:rsid w:val="005E00CF"/>
    <w:rsid w:val="005E435A"/>
    <w:rsid w:val="005E5142"/>
    <w:rsid w:val="005E5180"/>
    <w:rsid w:val="005E6D9D"/>
    <w:rsid w:val="005F3281"/>
    <w:rsid w:val="005F3697"/>
    <w:rsid w:val="005F594B"/>
    <w:rsid w:val="005F6129"/>
    <w:rsid w:val="005F6C18"/>
    <w:rsid w:val="006005CE"/>
    <w:rsid w:val="00600BB6"/>
    <w:rsid w:val="00601B41"/>
    <w:rsid w:val="006032C1"/>
    <w:rsid w:val="006118E3"/>
    <w:rsid w:val="00612956"/>
    <w:rsid w:val="00612B6F"/>
    <w:rsid w:val="00612BA3"/>
    <w:rsid w:val="00614866"/>
    <w:rsid w:val="006156DE"/>
    <w:rsid w:val="00617168"/>
    <w:rsid w:val="00620F3A"/>
    <w:rsid w:val="006227D3"/>
    <w:rsid w:val="00625849"/>
    <w:rsid w:val="00626544"/>
    <w:rsid w:val="006267AF"/>
    <w:rsid w:val="006303BC"/>
    <w:rsid w:val="00630DB7"/>
    <w:rsid w:val="0063135C"/>
    <w:rsid w:val="006318A6"/>
    <w:rsid w:val="00634877"/>
    <w:rsid w:val="006352BB"/>
    <w:rsid w:val="00637C49"/>
    <w:rsid w:val="006403A3"/>
    <w:rsid w:val="0064227D"/>
    <w:rsid w:val="0064398B"/>
    <w:rsid w:val="006439B3"/>
    <w:rsid w:val="006474D4"/>
    <w:rsid w:val="00651291"/>
    <w:rsid w:val="00653687"/>
    <w:rsid w:val="00655481"/>
    <w:rsid w:val="00656D5F"/>
    <w:rsid w:val="00660B7E"/>
    <w:rsid w:val="00662775"/>
    <w:rsid w:val="006730A0"/>
    <w:rsid w:val="0067365B"/>
    <w:rsid w:val="00675CD3"/>
    <w:rsid w:val="00676841"/>
    <w:rsid w:val="00677B13"/>
    <w:rsid w:val="006806CF"/>
    <w:rsid w:val="00685398"/>
    <w:rsid w:val="00685939"/>
    <w:rsid w:val="006861CE"/>
    <w:rsid w:val="00690267"/>
    <w:rsid w:val="0069041F"/>
    <w:rsid w:val="00693E00"/>
    <w:rsid w:val="00694E4F"/>
    <w:rsid w:val="00695B1E"/>
    <w:rsid w:val="006972CF"/>
    <w:rsid w:val="006975BB"/>
    <w:rsid w:val="006A1B7A"/>
    <w:rsid w:val="006A2062"/>
    <w:rsid w:val="006A24B5"/>
    <w:rsid w:val="006A2EC7"/>
    <w:rsid w:val="006A2FB9"/>
    <w:rsid w:val="006A4608"/>
    <w:rsid w:val="006B16C8"/>
    <w:rsid w:val="006B1ED3"/>
    <w:rsid w:val="006B321A"/>
    <w:rsid w:val="006B5C52"/>
    <w:rsid w:val="006B6020"/>
    <w:rsid w:val="006C0527"/>
    <w:rsid w:val="006C2C21"/>
    <w:rsid w:val="006C32BA"/>
    <w:rsid w:val="006C3D16"/>
    <w:rsid w:val="006C46F7"/>
    <w:rsid w:val="006C5F2A"/>
    <w:rsid w:val="006D0248"/>
    <w:rsid w:val="006D4F39"/>
    <w:rsid w:val="006D7C7D"/>
    <w:rsid w:val="006E1391"/>
    <w:rsid w:val="006F00A9"/>
    <w:rsid w:val="006F292D"/>
    <w:rsid w:val="006F4B05"/>
    <w:rsid w:val="00700747"/>
    <w:rsid w:val="00700821"/>
    <w:rsid w:val="00701185"/>
    <w:rsid w:val="007036E2"/>
    <w:rsid w:val="00703EAB"/>
    <w:rsid w:val="00704759"/>
    <w:rsid w:val="007137E0"/>
    <w:rsid w:val="00714B62"/>
    <w:rsid w:val="00716BC3"/>
    <w:rsid w:val="00720253"/>
    <w:rsid w:val="00723347"/>
    <w:rsid w:val="00724AE7"/>
    <w:rsid w:val="00725639"/>
    <w:rsid w:val="00726E2B"/>
    <w:rsid w:val="00727E72"/>
    <w:rsid w:val="00730FFE"/>
    <w:rsid w:val="00731023"/>
    <w:rsid w:val="00735890"/>
    <w:rsid w:val="00736954"/>
    <w:rsid w:val="00743F9F"/>
    <w:rsid w:val="00744C76"/>
    <w:rsid w:val="00745F8C"/>
    <w:rsid w:val="00746989"/>
    <w:rsid w:val="00750586"/>
    <w:rsid w:val="007513AE"/>
    <w:rsid w:val="007521F7"/>
    <w:rsid w:val="00753863"/>
    <w:rsid w:val="007551D9"/>
    <w:rsid w:val="00756F35"/>
    <w:rsid w:val="00757772"/>
    <w:rsid w:val="00760097"/>
    <w:rsid w:val="00760982"/>
    <w:rsid w:val="00761404"/>
    <w:rsid w:val="0076287E"/>
    <w:rsid w:val="00762E65"/>
    <w:rsid w:val="00766923"/>
    <w:rsid w:val="007731E6"/>
    <w:rsid w:val="0077355A"/>
    <w:rsid w:val="00774C5F"/>
    <w:rsid w:val="0077599C"/>
    <w:rsid w:val="007760B0"/>
    <w:rsid w:val="00780ED2"/>
    <w:rsid w:val="0078121B"/>
    <w:rsid w:val="0078142A"/>
    <w:rsid w:val="0078169F"/>
    <w:rsid w:val="00782CEF"/>
    <w:rsid w:val="007835A3"/>
    <w:rsid w:val="007842EF"/>
    <w:rsid w:val="00784729"/>
    <w:rsid w:val="00785E06"/>
    <w:rsid w:val="007872D3"/>
    <w:rsid w:val="007924AD"/>
    <w:rsid w:val="0079252B"/>
    <w:rsid w:val="007955B1"/>
    <w:rsid w:val="00797875"/>
    <w:rsid w:val="007A08D8"/>
    <w:rsid w:val="007A1FF1"/>
    <w:rsid w:val="007A2CAE"/>
    <w:rsid w:val="007A66BF"/>
    <w:rsid w:val="007A6D7B"/>
    <w:rsid w:val="007A6EDD"/>
    <w:rsid w:val="007A766E"/>
    <w:rsid w:val="007A7EEF"/>
    <w:rsid w:val="007B2982"/>
    <w:rsid w:val="007B5E28"/>
    <w:rsid w:val="007B710E"/>
    <w:rsid w:val="007C00F3"/>
    <w:rsid w:val="007C2182"/>
    <w:rsid w:val="007C2822"/>
    <w:rsid w:val="007C5A52"/>
    <w:rsid w:val="007C5CE3"/>
    <w:rsid w:val="007C6280"/>
    <w:rsid w:val="007C7619"/>
    <w:rsid w:val="007D0176"/>
    <w:rsid w:val="007D0EBB"/>
    <w:rsid w:val="007D2743"/>
    <w:rsid w:val="007D3C51"/>
    <w:rsid w:val="007D5F7F"/>
    <w:rsid w:val="007D60F7"/>
    <w:rsid w:val="007D624A"/>
    <w:rsid w:val="007D6641"/>
    <w:rsid w:val="007D7E4B"/>
    <w:rsid w:val="007E1322"/>
    <w:rsid w:val="007E13B2"/>
    <w:rsid w:val="007E186C"/>
    <w:rsid w:val="007E24D4"/>
    <w:rsid w:val="007E3744"/>
    <w:rsid w:val="007E3899"/>
    <w:rsid w:val="007E59DF"/>
    <w:rsid w:val="007E6D2A"/>
    <w:rsid w:val="007E7A07"/>
    <w:rsid w:val="007F06AE"/>
    <w:rsid w:val="007F206E"/>
    <w:rsid w:val="007F233B"/>
    <w:rsid w:val="007F5CEC"/>
    <w:rsid w:val="007F6E2A"/>
    <w:rsid w:val="00800097"/>
    <w:rsid w:val="008010D5"/>
    <w:rsid w:val="00817B5B"/>
    <w:rsid w:val="00821D9C"/>
    <w:rsid w:val="00822A84"/>
    <w:rsid w:val="0082383B"/>
    <w:rsid w:val="00831059"/>
    <w:rsid w:val="00833B6A"/>
    <w:rsid w:val="0083751E"/>
    <w:rsid w:val="00843F2F"/>
    <w:rsid w:val="008476E9"/>
    <w:rsid w:val="008477B4"/>
    <w:rsid w:val="008511DE"/>
    <w:rsid w:val="00851AAD"/>
    <w:rsid w:val="00861B6B"/>
    <w:rsid w:val="00863110"/>
    <w:rsid w:val="00863885"/>
    <w:rsid w:val="008643A6"/>
    <w:rsid w:val="00865211"/>
    <w:rsid w:val="00865BF9"/>
    <w:rsid w:val="00866933"/>
    <w:rsid w:val="008713E5"/>
    <w:rsid w:val="008736FD"/>
    <w:rsid w:val="00874574"/>
    <w:rsid w:val="008756BD"/>
    <w:rsid w:val="0088099D"/>
    <w:rsid w:val="00880C58"/>
    <w:rsid w:val="00881ECB"/>
    <w:rsid w:val="008820AF"/>
    <w:rsid w:val="00882D68"/>
    <w:rsid w:val="008856DA"/>
    <w:rsid w:val="00886D58"/>
    <w:rsid w:val="00886FFC"/>
    <w:rsid w:val="00890724"/>
    <w:rsid w:val="00890D9F"/>
    <w:rsid w:val="0089347C"/>
    <w:rsid w:val="008939CB"/>
    <w:rsid w:val="00893A64"/>
    <w:rsid w:val="008971DE"/>
    <w:rsid w:val="008A1D09"/>
    <w:rsid w:val="008A1D31"/>
    <w:rsid w:val="008A1E25"/>
    <w:rsid w:val="008A60CF"/>
    <w:rsid w:val="008B1149"/>
    <w:rsid w:val="008B499C"/>
    <w:rsid w:val="008C06CC"/>
    <w:rsid w:val="008C33D9"/>
    <w:rsid w:val="008C5154"/>
    <w:rsid w:val="008D0489"/>
    <w:rsid w:val="008D2DAE"/>
    <w:rsid w:val="008D2E41"/>
    <w:rsid w:val="008D3573"/>
    <w:rsid w:val="008D718A"/>
    <w:rsid w:val="008D7379"/>
    <w:rsid w:val="008D7C3A"/>
    <w:rsid w:val="008E1C8E"/>
    <w:rsid w:val="008E39F8"/>
    <w:rsid w:val="008E4480"/>
    <w:rsid w:val="008E66A2"/>
    <w:rsid w:val="008E7DB2"/>
    <w:rsid w:val="008F275B"/>
    <w:rsid w:val="008F2EFD"/>
    <w:rsid w:val="008F5B7E"/>
    <w:rsid w:val="008F5E86"/>
    <w:rsid w:val="008F6870"/>
    <w:rsid w:val="0090091B"/>
    <w:rsid w:val="009029A6"/>
    <w:rsid w:val="009032E5"/>
    <w:rsid w:val="00905712"/>
    <w:rsid w:val="00912C48"/>
    <w:rsid w:val="00914806"/>
    <w:rsid w:val="00916F2D"/>
    <w:rsid w:val="00920160"/>
    <w:rsid w:val="0092263A"/>
    <w:rsid w:val="00923F96"/>
    <w:rsid w:val="00924217"/>
    <w:rsid w:val="00925469"/>
    <w:rsid w:val="00927926"/>
    <w:rsid w:val="0093214A"/>
    <w:rsid w:val="00932562"/>
    <w:rsid w:val="009341F4"/>
    <w:rsid w:val="00935A39"/>
    <w:rsid w:val="00937444"/>
    <w:rsid w:val="0094284D"/>
    <w:rsid w:val="00943526"/>
    <w:rsid w:val="0094382B"/>
    <w:rsid w:val="00944F6C"/>
    <w:rsid w:val="0094637A"/>
    <w:rsid w:val="00960DA1"/>
    <w:rsid w:val="0096190B"/>
    <w:rsid w:val="00966798"/>
    <w:rsid w:val="00967149"/>
    <w:rsid w:val="00970A05"/>
    <w:rsid w:val="009736CE"/>
    <w:rsid w:val="00973BAC"/>
    <w:rsid w:val="009743CA"/>
    <w:rsid w:val="00974ABE"/>
    <w:rsid w:val="00975794"/>
    <w:rsid w:val="00981009"/>
    <w:rsid w:val="00982A02"/>
    <w:rsid w:val="00982B13"/>
    <w:rsid w:val="00982DBC"/>
    <w:rsid w:val="00985196"/>
    <w:rsid w:val="0098620E"/>
    <w:rsid w:val="00986B2C"/>
    <w:rsid w:val="00990BF1"/>
    <w:rsid w:val="009921D0"/>
    <w:rsid w:val="00992509"/>
    <w:rsid w:val="009950D6"/>
    <w:rsid w:val="009973B5"/>
    <w:rsid w:val="009A187F"/>
    <w:rsid w:val="009A1EB7"/>
    <w:rsid w:val="009A36E3"/>
    <w:rsid w:val="009A397F"/>
    <w:rsid w:val="009B1183"/>
    <w:rsid w:val="009B6CC9"/>
    <w:rsid w:val="009B726A"/>
    <w:rsid w:val="009C20E9"/>
    <w:rsid w:val="009C5E2D"/>
    <w:rsid w:val="009D21C3"/>
    <w:rsid w:val="009D54D5"/>
    <w:rsid w:val="009D5EFD"/>
    <w:rsid w:val="009D63BF"/>
    <w:rsid w:val="009D67B8"/>
    <w:rsid w:val="009D7A0E"/>
    <w:rsid w:val="009E56F6"/>
    <w:rsid w:val="009E7889"/>
    <w:rsid w:val="009F033A"/>
    <w:rsid w:val="009F0CC2"/>
    <w:rsid w:val="009F42DF"/>
    <w:rsid w:val="00A00AB2"/>
    <w:rsid w:val="00A01513"/>
    <w:rsid w:val="00A02B11"/>
    <w:rsid w:val="00A05FC0"/>
    <w:rsid w:val="00A07E88"/>
    <w:rsid w:val="00A10F44"/>
    <w:rsid w:val="00A13AFA"/>
    <w:rsid w:val="00A155AF"/>
    <w:rsid w:val="00A1663F"/>
    <w:rsid w:val="00A1793B"/>
    <w:rsid w:val="00A17ED0"/>
    <w:rsid w:val="00A2326D"/>
    <w:rsid w:val="00A236FF"/>
    <w:rsid w:val="00A2382B"/>
    <w:rsid w:val="00A262CE"/>
    <w:rsid w:val="00A33789"/>
    <w:rsid w:val="00A35BD1"/>
    <w:rsid w:val="00A377EC"/>
    <w:rsid w:val="00A378B3"/>
    <w:rsid w:val="00A43D60"/>
    <w:rsid w:val="00A4448D"/>
    <w:rsid w:val="00A5041B"/>
    <w:rsid w:val="00A50F16"/>
    <w:rsid w:val="00A53051"/>
    <w:rsid w:val="00A53191"/>
    <w:rsid w:val="00A53C4A"/>
    <w:rsid w:val="00A54035"/>
    <w:rsid w:val="00A54972"/>
    <w:rsid w:val="00A5510D"/>
    <w:rsid w:val="00A5693D"/>
    <w:rsid w:val="00A575B6"/>
    <w:rsid w:val="00A57F0E"/>
    <w:rsid w:val="00A625BA"/>
    <w:rsid w:val="00A6459D"/>
    <w:rsid w:val="00A6468C"/>
    <w:rsid w:val="00A67AE8"/>
    <w:rsid w:val="00A67BBF"/>
    <w:rsid w:val="00A71566"/>
    <w:rsid w:val="00A71889"/>
    <w:rsid w:val="00A7362F"/>
    <w:rsid w:val="00A73700"/>
    <w:rsid w:val="00A757C8"/>
    <w:rsid w:val="00A77A24"/>
    <w:rsid w:val="00A77B7D"/>
    <w:rsid w:val="00A82201"/>
    <w:rsid w:val="00A82247"/>
    <w:rsid w:val="00A83735"/>
    <w:rsid w:val="00A857A2"/>
    <w:rsid w:val="00A87EF2"/>
    <w:rsid w:val="00A93BBC"/>
    <w:rsid w:val="00A97F7B"/>
    <w:rsid w:val="00AA053C"/>
    <w:rsid w:val="00AA07E4"/>
    <w:rsid w:val="00AA1A03"/>
    <w:rsid w:val="00AA4D44"/>
    <w:rsid w:val="00AA4E76"/>
    <w:rsid w:val="00AA5523"/>
    <w:rsid w:val="00AA6B06"/>
    <w:rsid w:val="00AA6B66"/>
    <w:rsid w:val="00AB28DD"/>
    <w:rsid w:val="00AB3191"/>
    <w:rsid w:val="00AB3E2D"/>
    <w:rsid w:val="00AB4F95"/>
    <w:rsid w:val="00AB5150"/>
    <w:rsid w:val="00AB5B0C"/>
    <w:rsid w:val="00AC0EB4"/>
    <w:rsid w:val="00AC141A"/>
    <w:rsid w:val="00AC35FC"/>
    <w:rsid w:val="00AC52DD"/>
    <w:rsid w:val="00AC70D5"/>
    <w:rsid w:val="00AC75F9"/>
    <w:rsid w:val="00AD2364"/>
    <w:rsid w:val="00AD46AF"/>
    <w:rsid w:val="00AE041C"/>
    <w:rsid w:val="00AE1F37"/>
    <w:rsid w:val="00AE2884"/>
    <w:rsid w:val="00AE2AB9"/>
    <w:rsid w:val="00AE4520"/>
    <w:rsid w:val="00AE520C"/>
    <w:rsid w:val="00AE6778"/>
    <w:rsid w:val="00AE6DDD"/>
    <w:rsid w:val="00AF01FE"/>
    <w:rsid w:val="00AF284D"/>
    <w:rsid w:val="00AF2FB7"/>
    <w:rsid w:val="00AF3BDC"/>
    <w:rsid w:val="00B000E0"/>
    <w:rsid w:val="00B00A8D"/>
    <w:rsid w:val="00B00F30"/>
    <w:rsid w:val="00B04A5C"/>
    <w:rsid w:val="00B04CA0"/>
    <w:rsid w:val="00B06A03"/>
    <w:rsid w:val="00B10247"/>
    <w:rsid w:val="00B1150F"/>
    <w:rsid w:val="00B146F9"/>
    <w:rsid w:val="00B14C89"/>
    <w:rsid w:val="00B16FA9"/>
    <w:rsid w:val="00B233DB"/>
    <w:rsid w:val="00B24C9F"/>
    <w:rsid w:val="00B24EA8"/>
    <w:rsid w:val="00B25AC3"/>
    <w:rsid w:val="00B30050"/>
    <w:rsid w:val="00B30451"/>
    <w:rsid w:val="00B30BF2"/>
    <w:rsid w:val="00B3197D"/>
    <w:rsid w:val="00B32121"/>
    <w:rsid w:val="00B331EF"/>
    <w:rsid w:val="00B35192"/>
    <w:rsid w:val="00B360ED"/>
    <w:rsid w:val="00B36114"/>
    <w:rsid w:val="00B36DB6"/>
    <w:rsid w:val="00B37111"/>
    <w:rsid w:val="00B3724D"/>
    <w:rsid w:val="00B42286"/>
    <w:rsid w:val="00B42976"/>
    <w:rsid w:val="00B433DF"/>
    <w:rsid w:val="00B438FD"/>
    <w:rsid w:val="00B44E55"/>
    <w:rsid w:val="00B44E5C"/>
    <w:rsid w:val="00B45551"/>
    <w:rsid w:val="00B47D3C"/>
    <w:rsid w:val="00B5026F"/>
    <w:rsid w:val="00B50FDD"/>
    <w:rsid w:val="00B51C42"/>
    <w:rsid w:val="00B5750C"/>
    <w:rsid w:val="00B602D4"/>
    <w:rsid w:val="00B632C6"/>
    <w:rsid w:val="00B64A94"/>
    <w:rsid w:val="00B67CCD"/>
    <w:rsid w:val="00B7133E"/>
    <w:rsid w:val="00B7249B"/>
    <w:rsid w:val="00B73D95"/>
    <w:rsid w:val="00B74B05"/>
    <w:rsid w:val="00B754DF"/>
    <w:rsid w:val="00B766C5"/>
    <w:rsid w:val="00B76854"/>
    <w:rsid w:val="00B804BA"/>
    <w:rsid w:val="00B80BB8"/>
    <w:rsid w:val="00B82190"/>
    <w:rsid w:val="00B8237E"/>
    <w:rsid w:val="00B82637"/>
    <w:rsid w:val="00B84CB6"/>
    <w:rsid w:val="00B86078"/>
    <w:rsid w:val="00B8645F"/>
    <w:rsid w:val="00B872F7"/>
    <w:rsid w:val="00B91137"/>
    <w:rsid w:val="00B916C2"/>
    <w:rsid w:val="00B93404"/>
    <w:rsid w:val="00B941DA"/>
    <w:rsid w:val="00B950D6"/>
    <w:rsid w:val="00B96EF9"/>
    <w:rsid w:val="00BA0200"/>
    <w:rsid w:val="00BA03A9"/>
    <w:rsid w:val="00BA08D9"/>
    <w:rsid w:val="00BA09E9"/>
    <w:rsid w:val="00BA1372"/>
    <w:rsid w:val="00BA2E23"/>
    <w:rsid w:val="00BA2F93"/>
    <w:rsid w:val="00BB10F8"/>
    <w:rsid w:val="00BB1681"/>
    <w:rsid w:val="00BB43E3"/>
    <w:rsid w:val="00BB5258"/>
    <w:rsid w:val="00BC1CF1"/>
    <w:rsid w:val="00BC1F59"/>
    <w:rsid w:val="00BC2878"/>
    <w:rsid w:val="00BC3FEF"/>
    <w:rsid w:val="00BC4200"/>
    <w:rsid w:val="00BC4960"/>
    <w:rsid w:val="00BD1007"/>
    <w:rsid w:val="00BD5D83"/>
    <w:rsid w:val="00BD67DD"/>
    <w:rsid w:val="00BD687E"/>
    <w:rsid w:val="00BD6EAA"/>
    <w:rsid w:val="00BE1030"/>
    <w:rsid w:val="00BE10E3"/>
    <w:rsid w:val="00BE71EB"/>
    <w:rsid w:val="00BF003D"/>
    <w:rsid w:val="00BF2F20"/>
    <w:rsid w:val="00BF36B1"/>
    <w:rsid w:val="00BF53CA"/>
    <w:rsid w:val="00BF5ABE"/>
    <w:rsid w:val="00BF73AB"/>
    <w:rsid w:val="00BF78B1"/>
    <w:rsid w:val="00C00F87"/>
    <w:rsid w:val="00C0465E"/>
    <w:rsid w:val="00C0504D"/>
    <w:rsid w:val="00C068D1"/>
    <w:rsid w:val="00C07522"/>
    <w:rsid w:val="00C07864"/>
    <w:rsid w:val="00C10EAD"/>
    <w:rsid w:val="00C12D1A"/>
    <w:rsid w:val="00C13BC9"/>
    <w:rsid w:val="00C17BBA"/>
    <w:rsid w:val="00C21764"/>
    <w:rsid w:val="00C22563"/>
    <w:rsid w:val="00C227E9"/>
    <w:rsid w:val="00C23209"/>
    <w:rsid w:val="00C25182"/>
    <w:rsid w:val="00C25F39"/>
    <w:rsid w:val="00C27B60"/>
    <w:rsid w:val="00C31425"/>
    <w:rsid w:val="00C323EB"/>
    <w:rsid w:val="00C352B2"/>
    <w:rsid w:val="00C40781"/>
    <w:rsid w:val="00C4161B"/>
    <w:rsid w:val="00C41E1F"/>
    <w:rsid w:val="00C42E2C"/>
    <w:rsid w:val="00C437A2"/>
    <w:rsid w:val="00C44045"/>
    <w:rsid w:val="00C446FE"/>
    <w:rsid w:val="00C45DB2"/>
    <w:rsid w:val="00C55247"/>
    <w:rsid w:val="00C56C71"/>
    <w:rsid w:val="00C60F5A"/>
    <w:rsid w:val="00C613EA"/>
    <w:rsid w:val="00C61B38"/>
    <w:rsid w:val="00C627A0"/>
    <w:rsid w:val="00C62D33"/>
    <w:rsid w:val="00C65626"/>
    <w:rsid w:val="00C6649D"/>
    <w:rsid w:val="00C73343"/>
    <w:rsid w:val="00C7407C"/>
    <w:rsid w:val="00C7513E"/>
    <w:rsid w:val="00C753FE"/>
    <w:rsid w:val="00C76F70"/>
    <w:rsid w:val="00C8288E"/>
    <w:rsid w:val="00C83272"/>
    <w:rsid w:val="00C8358D"/>
    <w:rsid w:val="00C91B67"/>
    <w:rsid w:val="00C92CD2"/>
    <w:rsid w:val="00C952FE"/>
    <w:rsid w:val="00C970E0"/>
    <w:rsid w:val="00CA0346"/>
    <w:rsid w:val="00CA5FED"/>
    <w:rsid w:val="00CA636A"/>
    <w:rsid w:val="00CA6791"/>
    <w:rsid w:val="00CA793B"/>
    <w:rsid w:val="00CA7BA0"/>
    <w:rsid w:val="00CA7BC0"/>
    <w:rsid w:val="00CB3864"/>
    <w:rsid w:val="00CB484A"/>
    <w:rsid w:val="00CB51B6"/>
    <w:rsid w:val="00CB67A1"/>
    <w:rsid w:val="00CC13F1"/>
    <w:rsid w:val="00CC1EF6"/>
    <w:rsid w:val="00CC2269"/>
    <w:rsid w:val="00CC226D"/>
    <w:rsid w:val="00CC4B8F"/>
    <w:rsid w:val="00CC5B56"/>
    <w:rsid w:val="00CC64F9"/>
    <w:rsid w:val="00CC6DF9"/>
    <w:rsid w:val="00CD10D4"/>
    <w:rsid w:val="00CD19E9"/>
    <w:rsid w:val="00CD2BC1"/>
    <w:rsid w:val="00CD47C1"/>
    <w:rsid w:val="00CD4FF1"/>
    <w:rsid w:val="00CD6F4E"/>
    <w:rsid w:val="00CD77D4"/>
    <w:rsid w:val="00CE0166"/>
    <w:rsid w:val="00CE108F"/>
    <w:rsid w:val="00CE172F"/>
    <w:rsid w:val="00CE2EAF"/>
    <w:rsid w:val="00CE3838"/>
    <w:rsid w:val="00CE3DCF"/>
    <w:rsid w:val="00CE467A"/>
    <w:rsid w:val="00CE4DCD"/>
    <w:rsid w:val="00CE6B3D"/>
    <w:rsid w:val="00CE75F2"/>
    <w:rsid w:val="00CF0903"/>
    <w:rsid w:val="00CF1684"/>
    <w:rsid w:val="00CF2FE5"/>
    <w:rsid w:val="00CF3D43"/>
    <w:rsid w:val="00CF49BC"/>
    <w:rsid w:val="00CF4C01"/>
    <w:rsid w:val="00CF5358"/>
    <w:rsid w:val="00D00CF1"/>
    <w:rsid w:val="00D00D84"/>
    <w:rsid w:val="00D0177E"/>
    <w:rsid w:val="00D01E82"/>
    <w:rsid w:val="00D04236"/>
    <w:rsid w:val="00D045F3"/>
    <w:rsid w:val="00D057AF"/>
    <w:rsid w:val="00D06AAC"/>
    <w:rsid w:val="00D06DF0"/>
    <w:rsid w:val="00D07CF9"/>
    <w:rsid w:val="00D1133B"/>
    <w:rsid w:val="00D128B0"/>
    <w:rsid w:val="00D13860"/>
    <w:rsid w:val="00D1743E"/>
    <w:rsid w:val="00D174D8"/>
    <w:rsid w:val="00D20AE5"/>
    <w:rsid w:val="00D23651"/>
    <w:rsid w:val="00D247A7"/>
    <w:rsid w:val="00D25619"/>
    <w:rsid w:val="00D2654E"/>
    <w:rsid w:val="00D2749B"/>
    <w:rsid w:val="00D2763F"/>
    <w:rsid w:val="00D31019"/>
    <w:rsid w:val="00D316D5"/>
    <w:rsid w:val="00D31937"/>
    <w:rsid w:val="00D33150"/>
    <w:rsid w:val="00D33700"/>
    <w:rsid w:val="00D34B37"/>
    <w:rsid w:val="00D35BD2"/>
    <w:rsid w:val="00D37B9A"/>
    <w:rsid w:val="00D43B03"/>
    <w:rsid w:val="00D440F9"/>
    <w:rsid w:val="00D45A2F"/>
    <w:rsid w:val="00D509CB"/>
    <w:rsid w:val="00D554C5"/>
    <w:rsid w:val="00D55ABE"/>
    <w:rsid w:val="00D56EEF"/>
    <w:rsid w:val="00D60157"/>
    <w:rsid w:val="00D62277"/>
    <w:rsid w:val="00D6264D"/>
    <w:rsid w:val="00D65900"/>
    <w:rsid w:val="00D718CC"/>
    <w:rsid w:val="00D7348F"/>
    <w:rsid w:val="00D73521"/>
    <w:rsid w:val="00D77E0B"/>
    <w:rsid w:val="00D801DD"/>
    <w:rsid w:val="00D8207F"/>
    <w:rsid w:val="00D83A2F"/>
    <w:rsid w:val="00D8431D"/>
    <w:rsid w:val="00D848C1"/>
    <w:rsid w:val="00D849CC"/>
    <w:rsid w:val="00D86290"/>
    <w:rsid w:val="00D863DE"/>
    <w:rsid w:val="00D872F2"/>
    <w:rsid w:val="00D9072E"/>
    <w:rsid w:val="00D919FD"/>
    <w:rsid w:val="00D92242"/>
    <w:rsid w:val="00D9285B"/>
    <w:rsid w:val="00D93B3A"/>
    <w:rsid w:val="00D945EF"/>
    <w:rsid w:val="00D94D14"/>
    <w:rsid w:val="00D972D2"/>
    <w:rsid w:val="00DA0F7D"/>
    <w:rsid w:val="00DA3FE6"/>
    <w:rsid w:val="00DA480B"/>
    <w:rsid w:val="00DA72A4"/>
    <w:rsid w:val="00DB0432"/>
    <w:rsid w:val="00DB2D5C"/>
    <w:rsid w:val="00DB3B8F"/>
    <w:rsid w:val="00DB3F6D"/>
    <w:rsid w:val="00DB4273"/>
    <w:rsid w:val="00DB4C83"/>
    <w:rsid w:val="00DC012F"/>
    <w:rsid w:val="00DC1136"/>
    <w:rsid w:val="00DC383F"/>
    <w:rsid w:val="00DC385B"/>
    <w:rsid w:val="00DC3B6D"/>
    <w:rsid w:val="00DC3D46"/>
    <w:rsid w:val="00DC4362"/>
    <w:rsid w:val="00DC4E2D"/>
    <w:rsid w:val="00DC506A"/>
    <w:rsid w:val="00DD00E9"/>
    <w:rsid w:val="00DD2DED"/>
    <w:rsid w:val="00DD52DD"/>
    <w:rsid w:val="00DD6707"/>
    <w:rsid w:val="00DE0D99"/>
    <w:rsid w:val="00DE5349"/>
    <w:rsid w:val="00DE57B8"/>
    <w:rsid w:val="00DF0937"/>
    <w:rsid w:val="00DF1A70"/>
    <w:rsid w:val="00DF23C1"/>
    <w:rsid w:val="00DF34E6"/>
    <w:rsid w:val="00DF377F"/>
    <w:rsid w:val="00DF5982"/>
    <w:rsid w:val="00DF5B5D"/>
    <w:rsid w:val="00DF70D1"/>
    <w:rsid w:val="00E0036C"/>
    <w:rsid w:val="00E013A8"/>
    <w:rsid w:val="00E01894"/>
    <w:rsid w:val="00E11EC2"/>
    <w:rsid w:val="00E130EC"/>
    <w:rsid w:val="00E14B16"/>
    <w:rsid w:val="00E153E6"/>
    <w:rsid w:val="00E15C0B"/>
    <w:rsid w:val="00E17072"/>
    <w:rsid w:val="00E215BA"/>
    <w:rsid w:val="00E221FC"/>
    <w:rsid w:val="00E2593C"/>
    <w:rsid w:val="00E2771E"/>
    <w:rsid w:val="00E3095B"/>
    <w:rsid w:val="00E32D3D"/>
    <w:rsid w:val="00E35AC0"/>
    <w:rsid w:val="00E35AC1"/>
    <w:rsid w:val="00E36A2B"/>
    <w:rsid w:val="00E37669"/>
    <w:rsid w:val="00E37778"/>
    <w:rsid w:val="00E4254A"/>
    <w:rsid w:val="00E42ED6"/>
    <w:rsid w:val="00E43119"/>
    <w:rsid w:val="00E45002"/>
    <w:rsid w:val="00E45971"/>
    <w:rsid w:val="00E5080E"/>
    <w:rsid w:val="00E5210A"/>
    <w:rsid w:val="00E55097"/>
    <w:rsid w:val="00E558C5"/>
    <w:rsid w:val="00E5700F"/>
    <w:rsid w:val="00E57203"/>
    <w:rsid w:val="00E61395"/>
    <w:rsid w:val="00E61C69"/>
    <w:rsid w:val="00E63605"/>
    <w:rsid w:val="00E64F2E"/>
    <w:rsid w:val="00E6562F"/>
    <w:rsid w:val="00E678CD"/>
    <w:rsid w:val="00E70338"/>
    <w:rsid w:val="00E71ADB"/>
    <w:rsid w:val="00E71B46"/>
    <w:rsid w:val="00E7379A"/>
    <w:rsid w:val="00E73B2C"/>
    <w:rsid w:val="00E73BDE"/>
    <w:rsid w:val="00E747D2"/>
    <w:rsid w:val="00E74A39"/>
    <w:rsid w:val="00E7548C"/>
    <w:rsid w:val="00E76C52"/>
    <w:rsid w:val="00E809BD"/>
    <w:rsid w:val="00E852D3"/>
    <w:rsid w:val="00E85E44"/>
    <w:rsid w:val="00E87DB7"/>
    <w:rsid w:val="00E9094C"/>
    <w:rsid w:val="00E91135"/>
    <w:rsid w:val="00E9130F"/>
    <w:rsid w:val="00E9295C"/>
    <w:rsid w:val="00E92A26"/>
    <w:rsid w:val="00E93328"/>
    <w:rsid w:val="00E95215"/>
    <w:rsid w:val="00E95470"/>
    <w:rsid w:val="00E96A21"/>
    <w:rsid w:val="00EA12E9"/>
    <w:rsid w:val="00EA6EDA"/>
    <w:rsid w:val="00EB090C"/>
    <w:rsid w:val="00EB2273"/>
    <w:rsid w:val="00EB23E2"/>
    <w:rsid w:val="00EB269D"/>
    <w:rsid w:val="00EB332F"/>
    <w:rsid w:val="00EB44BD"/>
    <w:rsid w:val="00EB4787"/>
    <w:rsid w:val="00EB5831"/>
    <w:rsid w:val="00EB6B43"/>
    <w:rsid w:val="00EC3122"/>
    <w:rsid w:val="00EC4164"/>
    <w:rsid w:val="00EC42C5"/>
    <w:rsid w:val="00EC5211"/>
    <w:rsid w:val="00EC6697"/>
    <w:rsid w:val="00EC7106"/>
    <w:rsid w:val="00ED051A"/>
    <w:rsid w:val="00ED2778"/>
    <w:rsid w:val="00EE0339"/>
    <w:rsid w:val="00EE419A"/>
    <w:rsid w:val="00EE4869"/>
    <w:rsid w:val="00EE4A09"/>
    <w:rsid w:val="00EE6506"/>
    <w:rsid w:val="00EE68B8"/>
    <w:rsid w:val="00EF0816"/>
    <w:rsid w:val="00EF11BD"/>
    <w:rsid w:val="00EF1DC7"/>
    <w:rsid w:val="00EF34CF"/>
    <w:rsid w:val="00EF34EA"/>
    <w:rsid w:val="00EF35C0"/>
    <w:rsid w:val="00EF4202"/>
    <w:rsid w:val="00EF46EF"/>
    <w:rsid w:val="00EF52D9"/>
    <w:rsid w:val="00EF549C"/>
    <w:rsid w:val="00EF5875"/>
    <w:rsid w:val="00EF7088"/>
    <w:rsid w:val="00F00E96"/>
    <w:rsid w:val="00F010D4"/>
    <w:rsid w:val="00F02516"/>
    <w:rsid w:val="00F02DD0"/>
    <w:rsid w:val="00F031E8"/>
    <w:rsid w:val="00F03F55"/>
    <w:rsid w:val="00F04757"/>
    <w:rsid w:val="00F0705A"/>
    <w:rsid w:val="00F118B7"/>
    <w:rsid w:val="00F121AB"/>
    <w:rsid w:val="00F12518"/>
    <w:rsid w:val="00F161EC"/>
    <w:rsid w:val="00F21C70"/>
    <w:rsid w:val="00F2244C"/>
    <w:rsid w:val="00F2250B"/>
    <w:rsid w:val="00F23DCF"/>
    <w:rsid w:val="00F2482C"/>
    <w:rsid w:val="00F2535A"/>
    <w:rsid w:val="00F2742E"/>
    <w:rsid w:val="00F30320"/>
    <w:rsid w:val="00F338FC"/>
    <w:rsid w:val="00F343DB"/>
    <w:rsid w:val="00F36241"/>
    <w:rsid w:val="00F3657D"/>
    <w:rsid w:val="00F36B71"/>
    <w:rsid w:val="00F37EF2"/>
    <w:rsid w:val="00F415FC"/>
    <w:rsid w:val="00F446BD"/>
    <w:rsid w:val="00F45A4D"/>
    <w:rsid w:val="00F460FB"/>
    <w:rsid w:val="00F51D09"/>
    <w:rsid w:val="00F52719"/>
    <w:rsid w:val="00F532F9"/>
    <w:rsid w:val="00F53993"/>
    <w:rsid w:val="00F53AAD"/>
    <w:rsid w:val="00F54A78"/>
    <w:rsid w:val="00F5551E"/>
    <w:rsid w:val="00F60936"/>
    <w:rsid w:val="00F610AC"/>
    <w:rsid w:val="00F62090"/>
    <w:rsid w:val="00F6226B"/>
    <w:rsid w:val="00F62605"/>
    <w:rsid w:val="00F70418"/>
    <w:rsid w:val="00F714EC"/>
    <w:rsid w:val="00F71E51"/>
    <w:rsid w:val="00F738C9"/>
    <w:rsid w:val="00F74FDE"/>
    <w:rsid w:val="00F76249"/>
    <w:rsid w:val="00F76CCF"/>
    <w:rsid w:val="00F77B30"/>
    <w:rsid w:val="00F802C4"/>
    <w:rsid w:val="00F81793"/>
    <w:rsid w:val="00F82798"/>
    <w:rsid w:val="00F83C4E"/>
    <w:rsid w:val="00F848C1"/>
    <w:rsid w:val="00F8655E"/>
    <w:rsid w:val="00F86C94"/>
    <w:rsid w:val="00F87399"/>
    <w:rsid w:val="00F9067A"/>
    <w:rsid w:val="00F91E36"/>
    <w:rsid w:val="00F92E99"/>
    <w:rsid w:val="00F9439A"/>
    <w:rsid w:val="00F952DF"/>
    <w:rsid w:val="00F979AC"/>
    <w:rsid w:val="00FA0A5E"/>
    <w:rsid w:val="00FA0D24"/>
    <w:rsid w:val="00FA136C"/>
    <w:rsid w:val="00FA2AFB"/>
    <w:rsid w:val="00FA3EB6"/>
    <w:rsid w:val="00FA49F2"/>
    <w:rsid w:val="00FA56A8"/>
    <w:rsid w:val="00FA74E5"/>
    <w:rsid w:val="00FB202F"/>
    <w:rsid w:val="00FB27C7"/>
    <w:rsid w:val="00FB30FC"/>
    <w:rsid w:val="00FB3D95"/>
    <w:rsid w:val="00FB4101"/>
    <w:rsid w:val="00FB5369"/>
    <w:rsid w:val="00FB5D2C"/>
    <w:rsid w:val="00FB7314"/>
    <w:rsid w:val="00FC1AE6"/>
    <w:rsid w:val="00FC7FED"/>
    <w:rsid w:val="00FD2DDB"/>
    <w:rsid w:val="00FD41CD"/>
    <w:rsid w:val="00FD464D"/>
    <w:rsid w:val="00FD7760"/>
    <w:rsid w:val="00FD7F42"/>
    <w:rsid w:val="00FE1A18"/>
    <w:rsid w:val="00FE338B"/>
    <w:rsid w:val="00FE439B"/>
    <w:rsid w:val="00FE4F44"/>
    <w:rsid w:val="00FE6B13"/>
    <w:rsid w:val="00FF0B50"/>
    <w:rsid w:val="00FF12E9"/>
    <w:rsid w:val="00FF3878"/>
    <w:rsid w:val="00FF442B"/>
    <w:rsid w:val="00FF4D7E"/>
    <w:rsid w:val="00FF5EAC"/>
    <w:rsid w:val="00FF5F18"/>
    <w:rsid w:val="00FF6FCC"/>
    <w:rsid w:val="288D0D6C"/>
    <w:rsid w:val="38444167"/>
    <w:rsid w:val="3D083E16"/>
    <w:rsid w:val="41000F47"/>
    <w:rsid w:val="6529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2432"/>
  <w15:docId w15:val="{82C6C23F-FC2C-4475-BF32-ED8FF7B9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autoRedefine/>
    <w:semiHidden/>
    <w:qFormat/>
    <w:pPr>
      <w:ind w:leftChars="1200" w:left="2520"/>
    </w:pPr>
  </w:style>
  <w:style w:type="paragraph" w:styleId="a4">
    <w:name w:val="annotation text"/>
    <w:basedOn w:val="a"/>
    <w:link w:val="1"/>
    <w:qFormat/>
    <w:pPr>
      <w:jc w:val="left"/>
    </w:pPr>
  </w:style>
  <w:style w:type="paragraph" w:styleId="a5">
    <w:name w:val="Body Text"/>
    <w:basedOn w:val="a"/>
    <w:link w:val="10"/>
    <w:qFormat/>
    <w:pPr>
      <w:spacing w:line="360" w:lineRule="auto"/>
    </w:pPr>
    <w:rPr>
      <w:rFonts w:ascii="仿宋_GB2312" w:eastAsia="仿宋_GB2312"/>
      <w:color w:val="000000"/>
      <w:kern w:val="0"/>
      <w:sz w:val="24"/>
      <w:szCs w:val="28"/>
    </w:rPr>
  </w:style>
  <w:style w:type="paragraph" w:styleId="a6">
    <w:name w:val="Body Text Indent"/>
    <w:basedOn w:val="a"/>
    <w:link w:val="11"/>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autoRedefine/>
    <w:semiHidden/>
    <w:qFormat/>
    <w:pPr>
      <w:ind w:leftChars="800" w:left="1680"/>
    </w:pPr>
  </w:style>
  <w:style w:type="paragraph" w:styleId="3">
    <w:name w:val="toc 3"/>
    <w:basedOn w:val="a"/>
    <w:next w:val="a"/>
    <w:autoRedefine/>
    <w:semiHidden/>
    <w:qFormat/>
    <w:pPr>
      <w:ind w:leftChars="400" w:left="840"/>
    </w:pPr>
  </w:style>
  <w:style w:type="paragraph" w:styleId="8">
    <w:name w:val="toc 8"/>
    <w:basedOn w:val="a"/>
    <w:next w:val="a"/>
    <w:autoRedefine/>
    <w:semiHidden/>
    <w:qFormat/>
    <w:pPr>
      <w:ind w:leftChars="1400" w:left="2940"/>
    </w:pPr>
  </w:style>
  <w:style w:type="paragraph" w:styleId="20">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2"/>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autoRedefine/>
    <w:semiHidden/>
    <w:qFormat/>
  </w:style>
  <w:style w:type="paragraph" w:styleId="4">
    <w:name w:val="toc 4"/>
    <w:basedOn w:val="a"/>
    <w:next w:val="a"/>
    <w:autoRedefine/>
    <w:semiHidden/>
    <w:qFormat/>
    <w:pPr>
      <w:ind w:leftChars="600" w:left="1260"/>
    </w:pPr>
  </w:style>
  <w:style w:type="paragraph" w:styleId="6">
    <w:name w:val="toc 6"/>
    <w:basedOn w:val="a"/>
    <w:next w:val="a"/>
    <w:autoRedefine/>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2">
    <w:name w:val="toc 2"/>
    <w:basedOn w:val="a"/>
    <w:next w:val="a"/>
    <w:autoRedefine/>
    <w:semiHidden/>
    <w:qFormat/>
    <w:pPr>
      <w:ind w:leftChars="200" w:left="420"/>
    </w:pPr>
  </w:style>
  <w:style w:type="paragraph" w:styleId="9">
    <w:name w:val="toc 9"/>
    <w:basedOn w:val="a"/>
    <w:next w:val="a"/>
    <w:autoRedefine/>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4"/>
    <w:qFormat/>
    <w:rPr>
      <w:b/>
      <w:bCs/>
    </w:rPr>
  </w:style>
  <w:style w:type="character" w:styleId="ae">
    <w:name w:val="Strong"/>
    <w:qFormat/>
    <w:rPr>
      <w:b/>
      <w:bCs/>
    </w:rPr>
  </w:style>
  <w:style w:type="character" w:styleId="af">
    <w:name w:val="page number"/>
    <w:basedOn w:val="a1"/>
    <w:qFormat/>
  </w:style>
  <w:style w:type="character" w:styleId="af0">
    <w:name w:val="FollowedHyperlink"/>
    <w:basedOn w:val="a1"/>
    <w:uiPriority w:val="99"/>
    <w:semiHidden/>
    <w:unhideWhenUsed/>
    <w:qFormat/>
    <w:rPr>
      <w:color w:val="954F72" w:themeColor="followedHyperlink"/>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23">
    <w:name w:val="标题 2 字符"/>
    <w:basedOn w:val="a1"/>
    <w:uiPriority w:val="9"/>
    <w:semiHidden/>
    <w:qFormat/>
    <w:rPr>
      <w:rFonts w:asciiTheme="majorHAnsi" w:eastAsiaTheme="majorEastAsia" w:hAnsiTheme="majorHAnsi" w:cstheme="majorBidi"/>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3">
    <w:name w:val="正文文本 字符"/>
    <w:basedOn w:val="a1"/>
    <w:uiPriority w:val="99"/>
    <w:semiHidden/>
    <w:qFormat/>
    <w:rPr>
      <w:rFonts w:ascii="Times New Roman" w:eastAsia="宋体" w:hAnsi="Times New Roman" w:cs="Times New Roman"/>
      <w:szCs w:val="24"/>
    </w:rPr>
  </w:style>
  <w:style w:type="character" w:customStyle="1" w:styleId="10">
    <w:name w:val="正文文本 字符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f4">
    <w:name w:val="正文文本缩进 字符"/>
    <w:basedOn w:val="a1"/>
    <w:uiPriority w:val="99"/>
    <w:semiHidden/>
    <w:qFormat/>
    <w:rPr>
      <w:rFonts w:ascii="Times New Roman" w:eastAsia="宋体" w:hAnsi="Times New Roman" w:cs="Times New Roman"/>
      <w:szCs w:val="24"/>
    </w:rPr>
  </w:style>
  <w:style w:type="character" w:customStyle="1" w:styleId="11">
    <w:name w:val="正文文本缩进 字符1"/>
    <w:link w:val="a6"/>
    <w:qFormat/>
    <w:rPr>
      <w:rFonts w:ascii="Times New Roman" w:eastAsia="方正仿宋简体" w:hAnsi="Times New Roman" w:cs="Times New Roman"/>
      <w:sz w:val="24"/>
      <w:szCs w:val="30"/>
    </w:rPr>
  </w:style>
  <w:style w:type="character" w:customStyle="1" w:styleId="24">
    <w:name w:val="正文文本缩进 2 字符"/>
    <w:basedOn w:val="a1"/>
    <w:uiPriority w:val="99"/>
    <w:semiHidden/>
    <w:qFormat/>
    <w:rPr>
      <w:rFonts w:ascii="Times New Roman" w:eastAsia="宋体" w:hAnsi="Times New Roman" w:cs="Times New Roman"/>
      <w:szCs w:val="24"/>
    </w:rPr>
  </w:style>
  <w:style w:type="character" w:customStyle="1" w:styleId="210">
    <w:name w:val="正文文本缩进 2 字符1"/>
    <w:link w:val="20"/>
    <w:qFormat/>
    <w:rPr>
      <w:rFonts w:ascii="宋体" w:eastAsia="宋体" w:hAnsi="宋体" w:cs="Times New Roman"/>
      <w:sz w:val="28"/>
      <w:szCs w:val="20"/>
    </w:rPr>
  </w:style>
  <w:style w:type="character" w:customStyle="1" w:styleId="32">
    <w:name w:val="正文文本缩进 3 字符"/>
    <w:basedOn w:val="a1"/>
    <w:uiPriority w:val="99"/>
    <w:semiHidden/>
    <w:qFormat/>
    <w:rPr>
      <w:rFonts w:ascii="Times New Roman" w:eastAsia="宋体" w:hAnsi="Times New Roman" w:cs="Times New Roman"/>
      <w:sz w:val="16"/>
      <w:szCs w:val="16"/>
    </w:rPr>
  </w:style>
  <w:style w:type="character" w:customStyle="1" w:styleId="31">
    <w:name w:val="正文文本缩进 3 字符1"/>
    <w:link w:val="30"/>
    <w:qFormat/>
    <w:rPr>
      <w:rFonts w:ascii="仿宋_GB2312" w:eastAsia="仿宋_GB2312" w:hAnsi="宋体" w:cs="Arial"/>
      <w:color w:val="000000"/>
      <w:sz w:val="24"/>
      <w:szCs w:val="24"/>
    </w:rPr>
  </w:style>
  <w:style w:type="character" w:customStyle="1" w:styleId="af5">
    <w:name w:val="批注框文本 字符"/>
    <w:basedOn w:val="a1"/>
    <w:uiPriority w:val="99"/>
    <w:semiHidden/>
    <w:qFormat/>
    <w:rPr>
      <w:rFonts w:ascii="Times New Roman" w:eastAsia="宋体" w:hAnsi="Times New Roman" w:cs="Times New Roman"/>
      <w:sz w:val="18"/>
      <w:szCs w:val="18"/>
    </w:rPr>
  </w:style>
  <w:style w:type="character" w:customStyle="1" w:styleId="12">
    <w:name w:val="批注框文本 字符1"/>
    <w:link w:val="a7"/>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autoRedefine/>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6">
    <w:name w:val="批注文字 字符"/>
    <w:basedOn w:val="a1"/>
    <w:qFormat/>
    <w:rPr>
      <w:rFonts w:ascii="Times New Roman" w:eastAsia="宋体" w:hAnsi="Times New Roman" w:cs="Times New Roman"/>
      <w:szCs w:val="24"/>
    </w:rPr>
  </w:style>
  <w:style w:type="character" w:customStyle="1" w:styleId="1">
    <w:name w:val="批注文字 字符1"/>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uiPriority w:val="99"/>
    <w:semiHidden/>
    <w:qFormat/>
    <w:rPr>
      <w:rFonts w:ascii="Courier New" w:eastAsia="宋体" w:hAnsi="Courier New" w:cs="Courier New"/>
      <w:sz w:val="20"/>
      <w:szCs w:val="20"/>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af7">
    <w:name w:val="批注主题 字符"/>
    <w:basedOn w:val="af6"/>
    <w:uiPriority w:val="99"/>
    <w:semiHidden/>
    <w:qFormat/>
    <w:rPr>
      <w:rFonts w:ascii="Times New Roman" w:eastAsia="宋体" w:hAnsi="Times New Roman" w:cs="Times New Roman"/>
      <w:b/>
      <w:bCs/>
      <w:szCs w:val="24"/>
    </w:rPr>
  </w:style>
  <w:style w:type="character" w:customStyle="1" w:styleId="14">
    <w:name w:val="批注主题 字符1"/>
    <w:link w:val="ad"/>
    <w:qFormat/>
    <w:rPr>
      <w:rFonts w:ascii="Times New Roman" w:eastAsia="宋体" w:hAnsi="Times New Roman" w:cs="Times New Roman"/>
      <w:b/>
      <w:bCs/>
      <w:szCs w:val="24"/>
    </w:rPr>
  </w:style>
  <w:style w:type="paragraph" w:customStyle="1" w:styleId="Style58">
    <w:name w:val="_Style 58"/>
    <w:uiPriority w:val="99"/>
    <w:unhideWhenUsed/>
    <w:qFormat/>
    <w:pPr>
      <w:widowControl w:val="0"/>
      <w:jc w:val="both"/>
    </w:pPr>
    <w:rPr>
      <w:rFonts w:ascii="Times New Roman" w:eastAsia="宋体" w:hAnsi="Times New Roman" w:cs="Times New Roman"/>
      <w:kern w:val="2"/>
      <w:sz w:val="21"/>
      <w:szCs w:val="24"/>
    </w:rPr>
  </w:style>
  <w:style w:type="paragraph" w:customStyle="1" w:styleId="15">
    <w:name w:val="修订1"/>
    <w:hidden/>
    <w:uiPriority w:val="99"/>
    <w:semiHidden/>
    <w:qFormat/>
    <w:rPr>
      <w:rFonts w:ascii="Times New Roman" w:eastAsia="宋体" w:hAnsi="Times New Roman" w:cs="Times New Roman"/>
      <w:kern w:val="2"/>
      <w:sz w:val="21"/>
      <w:szCs w:val="24"/>
    </w:rPr>
  </w:style>
  <w:style w:type="paragraph" w:styleId="af8">
    <w:name w:val="Revision"/>
    <w:hidden/>
    <w:uiPriority w:val="99"/>
    <w:semiHidden/>
    <w:rsid w:val="00A07E8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29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4B81C-4B2B-45E1-B2DE-48550F43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32</Pages>
  <Words>5275</Words>
  <Characters>30069</Characters>
  <Application>Microsoft Office Word</Application>
  <DocSecurity>0</DocSecurity>
  <Lines>250</Lines>
  <Paragraphs>70</Paragraphs>
  <ScaleCrop>false</ScaleCrop>
  <Company/>
  <LinksUpToDate>false</LinksUpToDate>
  <CharactersWithSpaces>35274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陈岚</dc:creator>
  <cp:lastModifiedBy>李淑琪</cp:lastModifiedBy>
  <cp:revision>1138</cp:revision>
  <cp:lastPrinted>2023-09-27T06:37:00Z</cp:lastPrinted>
  <dcterms:created xsi:type="dcterms:W3CDTF">2023-09-26T05:36:00Z</dcterms:created>
  <dcterms:modified xsi:type="dcterms:W3CDTF">2026-05-26T06:16:00Z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eyJoZGlkIjoiYmJlMTM1OTQzNjc4MDU2M2Q4N2QwZWU0ZjYyZTMyZmIiLCJ1c2VySWQiOiI2NTE1MDQyNjQifQ==</vt:lpwstr>
  </property>
  <property fmtid="{D5CDD505-2E9C-101B-9397-08002B2CF9AE}" pid="3" name="KSOProductBuildVer">
    <vt:lpwstr>2052-12.1.0.24657</vt:lpwstr>
  </property>
  <property fmtid="{D5CDD505-2E9C-101B-9397-08002B2CF9AE}" pid="4" name="ICV">
    <vt:lpwstr>E5C7FA2364574740A0650CE5C4F85CE1_12</vt:lpwstr>
  </property>
</Properties>
</file>